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pPr>
    </w:p>
    <w:p>
      <w:pPr>
        <w:ind w:firstLine="560"/>
      </w:pPr>
    </w:p>
    <w:p>
      <w:pPr>
        <w:ind w:firstLine="560"/>
      </w:pPr>
    </w:p>
    <w:p>
      <w:pPr>
        <w:spacing w:line="1000" w:lineRule="exact"/>
        <w:ind w:firstLine="0" w:firstLineChars="0"/>
        <w:jc w:val="center"/>
        <w:rPr>
          <w:rFonts w:ascii="黑体" w:hAnsi="黑体" w:eastAsia="黑体"/>
          <w:sz w:val="52"/>
          <w:szCs w:val="52"/>
        </w:rPr>
      </w:pPr>
      <w:r>
        <w:rPr>
          <w:rFonts w:hint="eastAsia" w:ascii="黑体" w:hAnsi="黑体" w:eastAsia="黑体"/>
          <w:sz w:val="52"/>
          <w:szCs w:val="52"/>
        </w:rPr>
        <w:t>呼和浩特市哈拉沁水库</w:t>
      </w:r>
    </w:p>
    <w:p>
      <w:pPr>
        <w:spacing w:line="1000" w:lineRule="exact"/>
        <w:ind w:firstLine="0" w:firstLineChars="0"/>
        <w:jc w:val="center"/>
        <w:rPr>
          <w:rFonts w:ascii="黑体" w:hAnsi="黑体" w:eastAsia="黑体"/>
          <w:sz w:val="52"/>
          <w:szCs w:val="52"/>
        </w:rPr>
      </w:pPr>
      <w:r>
        <w:rPr>
          <w:rFonts w:hint="eastAsia" w:ascii="黑体" w:hAnsi="黑体" w:eastAsia="黑体"/>
          <w:sz w:val="52"/>
          <w:szCs w:val="52"/>
        </w:rPr>
        <w:t>管理与保护范围划界报告</w: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pStyle w:val="57"/>
        <w:rPr>
          <w:rFonts w:hint="eastAsia"/>
          <w:lang w:val="en-US" w:eastAsia="zh-CN"/>
        </w:rPr>
      </w:pPr>
    </w:p>
    <w:p>
      <w:pPr>
        <w:pStyle w:val="57"/>
        <w:ind w:left="0" w:leftChars="0" w:firstLine="1124" w:firstLineChars="400"/>
        <w:jc w:val="both"/>
        <w:rPr>
          <w:rFonts w:hint="default"/>
          <w:lang w:val="en-US" w:eastAsia="zh-CN"/>
        </w:rPr>
      </w:pPr>
      <w:r>
        <w:rPr>
          <w:rFonts w:hint="default"/>
          <w:lang w:val="en-US" w:eastAsia="zh-CN"/>
        </w:rPr>
        <w:drawing>
          <wp:anchor distT="0" distB="0" distL="114300" distR="114300" simplePos="0" relativeHeight="251660288" behindDoc="1" locked="0" layoutInCell="1" allowOverlap="1">
            <wp:simplePos x="0" y="0"/>
            <wp:positionH relativeFrom="column">
              <wp:posOffset>1317625</wp:posOffset>
            </wp:positionH>
            <wp:positionV relativeFrom="paragraph">
              <wp:posOffset>106680</wp:posOffset>
            </wp:positionV>
            <wp:extent cx="1795780" cy="1870710"/>
            <wp:effectExtent l="0" t="0" r="13970" b="15240"/>
            <wp:wrapNone/>
            <wp:docPr id="2" name="图片 2" descr="842fd922f5b3466f896ee8bc05d8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42fd922f5b3466f896ee8bc05d8d31"/>
                    <pic:cNvPicPr>
                      <a:picLocks noChangeAspect="1"/>
                    </pic:cNvPicPr>
                  </pic:nvPicPr>
                  <pic:blipFill>
                    <a:blip r:embed="rId32"/>
                    <a:stretch>
                      <a:fillRect/>
                    </a:stretch>
                  </pic:blipFill>
                  <pic:spPr>
                    <a:xfrm>
                      <a:off x="0" y="0"/>
                      <a:ext cx="1795780" cy="1870710"/>
                    </a:xfrm>
                    <a:prstGeom prst="rect">
                      <a:avLst/>
                    </a:prstGeom>
                  </pic:spPr>
                </pic:pic>
              </a:graphicData>
            </a:graphic>
          </wp:anchor>
        </w:drawing>
      </w:r>
      <w:r>
        <w:rPr>
          <w:rFonts w:hint="eastAsia"/>
          <w:lang w:val="en-US" w:eastAsia="zh-CN"/>
        </w:rPr>
        <w:t>建设单位：</w:t>
      </w:r>
      <w:r>
        <w:rPr>
          <w:rFonts w:hint="default"/>
          <w:lang w:val="en-US" w:eastAsia="zh-CN"/>
        </w:rPr>
        <w:fldChar w:fldCharType="begin"/>
      </w:r>
      <w:r>
        <w:rPr>
          <w:rFonts w:hint="default"/>
          <w:lang w:val="en-US" w:eastAsia="zh-CN"/>
        </w:rPr>
        <w:instrText xml:space="preserve"> HYPERLINK "http://www.baidu.com/link?url=5k0JfvyvYbxe4Yeov9RjdSzEc9RAST5MuFaVXDUxMvTHMEaRQkI4p9I28kThcwPoHwRELaR99G2ElQZNkzHogKbHJJY2wBoCTk9ZVwGX-Z3Rim16emWs61gpPj7K6lboxK72Ow9OYY5AoIPtpJwS73y-mYWdrnk4MRyeR7o80CfvwAM94SKRPkjomZrYJWQnPWONKY_Qcv6cw9kBNriTCmNE6GYuH-mSvWH6bbacwwO_GW8BNvkHNI0Anw7HZz6jUbJgB2H7PU-TE2bsyMH0ojjyeGfQMpSjJmUcHDZC7Wy" \t "https://www.baidu.com/_blank" </w:instrText>
      </w:r>
      <w:r>
        <w:rPr>
          <w:rFonts w:hint="default"/>
          <w:lang w:val="en-US" w:eastAsia="zh-CN"/>
        </w:rPr>
        <w:fldChar w:fldCharType="separate"/>
      </w:r>
      <w:r>
        <w:rPr>
          <w:rFonts w:hint="default"/>
          <w:lang w:val="en-US" w:eastAsia="zh-CN"/>
        </w:rPr>
        <w:t>呼和浩特春华水务开发集团有限责任公司</w:t>
      </w:r>
      <w:r>
        <w:rPr>
          <w:rFonts w:hint="default"/>
          <w:lang w:val="en-US" w:eastAsia="zh-CN"/>
        </w:rPr>
        <w:fldChar w:fldCharType="end"/>
      </w:r>
    </w:p>
    <w:p>
      <w:pPr>
        <w:pStyle w:val="57"/>
        <w:spacing w:line="240" w:lineRule="auto"/>
        <w:ind w:firstLine="2530" w:firstLineChars="900"/>
        <w:jc w:val="both"/>
        <w:rPr>
          <w:rFonts w:hint="default"/>
          <w:lang w:val="en-US" w:eastAsia="zh-CN"/>
        </w:rPr>
      </w:pPr>
      <w:r>
        <w:rPr>
          <w:rFonts w:hint="default"/>
          <w:lang w:val="en-US" w:eastAsia="zh-CN"/>
        </w:rPr>
        <w:fldChar w:fldCharType="begin"/>
      </w:r>
      <w:r>
        <w:rPr>
          <w:rFonts w:hint="default"/>
          <w:lang w:val="en-US" w:eastAsia="zh-CN"/>
        </w:rPr>
        <w:instrText xml:space="preserve"> HYPERLINK "https://aiqicha.baidu.com/detail/compinfo?pid=29485225940723&amp;rq=es&amp;pd=ee&amp;from=ps" \t "https://www.baidu.com/_blank" </w:instrText>
      </w:r>
      <w:r>
        <w:rPr>
          <w:rFonts w:hint="default"/>
          <w:lang w:val="en-US" w:eastAsia="zh-CN"/>
        </w:rPr>
        <w:fldChar w:fldCharType="separate"/>
      </w:r>
      <w:r>
        <w:rPr>
          <w:rFonts w:hint="default"/>
          <w:lang w:val="en-US" w:eastAsia="zh-CN"/>
        </w:rPr>
        <w:t>呼和浩特市哈拉沁水库管理有限责任公司</w:t>
      </w:r>
      <w:r>
        <w:rPr>
          <w:rFonts w:hint="default"/>
          <w:lang w:val="en-US" w:eastAsia="zh-CN"/>
        </w:rPr>
        <w:fldChar w:fldCharType="end"/>
      </w:r>
    </w:p>
    <w:p>
      <w:pPr>
        <w:pStyle w:val="57"/>
        <w:ind w:left="0" w:leftChars="0" w:firstLine="1124" w:firstLineChars="400"/>
        <w:jc w:val="both"/>
        <w:rPr>
          <w:rFonts w:hint="default"/>
          <w:lang w:val="en-US" w:eastAsia="zh-CN"/>
        </w:rPr>
      </w:pPr>
      <w:r>
        <w:rPr>
          <w:rFonts w:hint="eastAsia"/>
          <w:lang w:val="en-US" w:eastAsia="zh-CN"/>
        </w:rPr>
        <w:t>编制单位：呼和浩特市鑫图测绘有限责任公司</w:t>
      </w:r>
    </w:p>
    <w:p>
      <w:pPr>
        <w:pStyle w:val="57"/>
        <w:rPr>
          <w:rFonts w:hint="eastAsia"/>
          <w:lang w:val="en-US" w:eastAsia="zh-CN"/>
        </w:rPr>
      </w:pPr>
      <w:r>
        <w:rPr>
          <w:rFonts w:hint="eastAsia"/>
          <w:lang w:val="en-US" w:eastAsia="zh-CN"/>
        </w:rPr>
        <w:t>二 〇 二 〇 年 十 二 月</w:t>
      </w:r>
    </w:p>
    <w:p>
      <w:pPr>
        <w:ind w:firstLine="560"/>
      </w:pPr>
      <w:bookmarkStart w:id="39" w:name="_GoBack"/>
      <w:bookmarkEnd w:id="39"/>
    </w:p>
    <w:p>
      <w:pPr>
        <w:spacing w:line="1000" w:lineRule="exact"/>
        <w:ind w:firstLine="0" w:firstLineChars="0"/>
        <w:jc w:val="center"/>
        <w:rPr>
          <w:rFonts w:ascii="楷体" w:hAnsi="楷体" w:eastAsia="楷体"/>
          <w:b/>
          <w:sz w:val="52"/>
          <w:szCs w:val="52"/>
        </w:rPr>
      </w:pPr>
    </w:p>
    <w:p>
      <w:pPr>
        <w:spacing w:line="1000" w:lineRule="exact"/>
        <w:ind w:firstLine="0" w:firstLineChars="0"/>
        <w:jc w:val="center"/>
        <w:rPr>
          <w:rFonts w:ascii="楷体" w:hAnsi="楷体" w:eastAsia="楷体"/>
          <w:b/>
          <w:sz w:val="52"/>
          <w:szCs w:val="52"/>
        </w:rPr>
      </w:pPr>
      <w:r>
        <w:rPr>
          <w:rFonts w:hint="eastAsia" w:ascii="楷体" w:hAnsi="楷体" w:eastAsia="楷体"/>
          <w:b/>
          <w:sz w:val="52"/>
          <w:szCs w:val="52"/>
        </w:rPr>
        <w:t>呼和浩特市哈拉沁水库</w:t>
      </w:r>
    </w:p>
    <w:p>
      <w:pPr>
        <w:spacing w:line="1000" w:lineRule="exact"/>
        <w:ind w:firstLine="0" w:firstLineChars="0"/>
        <w:jc w:val="center"/>
        <w:rPr>
          <w:rFonts w:ascii="楷体" w:hAnsi="楷体" w:eastAsia="楷体"/>
          <w:b/>
          <w:sz w:val="52"/>
          <w:szCs w:val="52"/>
        </w:rPr>
      </w:pPr>
      <w:r>
        <w:rPr>
          <w:rFonts w:hint="eastAsia" w:ascii="楷体" w:hAnsi="楷体" w:eastAsia="楷体"/>
          <w:b/>
          <w:sz w:val="52"/>
          <w:szCs w:val="52"/>
        </w:rPr>
        <w:t>管理与保护范围划界报告</w:t>
      </w:r>
    </w:p>
    <w:p>
      <w:pPr>
        <w:ind w:firstLine="560"/>
      </w:pPr>
    </w:p>
    <w:p>
      <w:pPr>
        <w:ind w:firstLine="560"/>
      </w:pPr>
    </w:p>
    <w:p>
      <w:pPr>
        <w:ind w:firstLine="560"/>
      </w:pPr>
    </w:p>
    <w:p>
      <w:pPr>
        <w:spacing w:line="840" w:lineRule="auto"/>
        <w:ind w:firstLine="643"/>
        <w:rPr>
          <w:rFonts w:hint="default" w:ascii="楷体" w:hAnsi="楷体" w:eastAsia="楷体"/>
          <w:b/>
          <w:sz w:val="32"/>
          <w:szCs w:val="32"/>
          <w:lang w:val="en-US" w:eastAsia="zh-CN"/>
        </w:rPr>
      </w:pPr>
      <w:r>
        <w:rPr>
          <w:rFonts w:hint="eastAsia" w:ascii="楷体" w:hAnsi="楷体" w:eastAsia="楷体"/>
          <w:b/>
          <w:sz w:val="32"/>
          <w:szCs w:val="32"/>
        </w:rPr>
        <w:t xml:space="preserve">批 </w:t>
      </w:r>
      <w:r>
        <w:rPr>
          <w:rFonts w:ascii="楷体" w:hAnsi="楷体" w:eastAsia="楷体"/>
          <w:b/>
          <w:sz w:val="32"/>
          <w:szCs w:val="32"/>
        </w:rPr>
        <w:t xml:space="preserve">   </w:t>
      </w:r>
      <w:r>
        <w:rPr>
          <w:rFonts w:hint="eastAsia" w:ascii="楷体" w:hAnsi="楷体" w:eastAsia="楷体"/>
          <w:b/>
          <w:sz w:val="32"/>
          <w:szCs w:val="32"/>
        </w:rPr>
        <w:t>准</w:t>
      </w:r>
      <w:r>
        <w:rPr>
          <w:rFonts w:hint="eastAsia" w:ascii="楷体" w:hAnsi="楷体" w:eastAsia="楷体"/>
          <w:b/>
          <w:sz w:val="32"/>
          <w:szCs w:val="32"/>
          <w:lang w:val="en-US" w:eastAsia="zh-CN"/>
        </w:rPr>
        <w:t>： 白治军</w:t>
      </w:r>
    </w:p>
    <w:p>
      <w:pPr>
        <w:spacing w:line="840" w:lineRule="auto"/>
        <w:ind w:firstLine="643"/>
        <w:rPr>
          <w:rFonts w:hint="eastAsia" w:ascii="楷体" w:hAnsi="楷体" w:eastAsia="楷体"/>
          <w:b/>
          <w:sz w:val="32"/>
          <w:szCs w:val="32"/>
          <w:lang w:val="en-US" w:eastAsia="zh-CN"/>
        </w:rPr>
      </w:pPr>
      <w:r>
        <w:rPr>
          <w:rFonts w:hint="eastAsia" w:ascii="楷体" w:hAnsi="楷体" w:eastAsia="楷体"/>
          <w:b/>
          <w:sz w:val="32"/>
          <w:szCs w:val="32"/>
        </w:rPr>
        <w:t xml:space="preserve">审 </w:t>
      </w:r>
      <w:r>
        <w:rPr>
          <w:rFonts w:ascii="楷体" w:hAnsi="楷体" w:eastAsia="楷体"/>
          <w:b/>
          <w:sz w:val="32"/>
          <w:szCs w:val="32"/>
        </w:rPr>
        <w:t xml:space="preserve">   </w:t>
      </w:r>
      <w:r>
        <w:rPr>
          <w:rFonts w:hint="eastAsia" w:ascii="楷体" w:hAnsi="楷体" w:eastAsia="楷体"/>
          <w:b/>
          <w:sz w:val="32"/>
          <w:szCs w:val="32"/>
        </w:rPr>
        <w:t>定：</w:t>
      </w:r>
      <w:r>
        <w:rPr>
          <w:rFonts w:ascii="楷体" w:hAnsi="楷体" w:eastAsia="楷体"/>
          <w:b/>
          <w:sz w:val="32"/>
          <w:szCs w:val="32"/>
        </w:rPr>
        <w:t xml:space="preserve"> </w:t>
      </w:r>
      <w:r>
        <w:rPr>
          <w:rFonts w:hint="eastAsia" w:ascii="楷体" w:hAnsi="楷体" w:eastAsia="楷体"/>
          <w:b/>
          <w:sz w:val="32"/>
          <w:szCs w:val="32"/>
          <w:lang w:val="en-US" w:eastAsia="zh-CN"/>
        </w:rPr>
        <w:t>李  飞</w:t>
      </w:r>
    </w:p>
    <w:p>
      <w:pPr>
        <w:spacing w:line="840" w:lineRule="auto"/>
        <w:ind w:firstLine="643"/>
        <w:rPr>
          <w:rFonts w:hint="eastAsia" w:ascii="楷体" w:hAnsi="楷体" w:eastAsia="楷体"/>
          <w:b/>
          <w:sz w:val="32"/>
          <w:szCs w:val="32"/>
          <w:lang w:val="en-US" w:eastAsia="zh-CN"/>
        </w:rPr>
      </w:pPr>
      <w:r>
        <w:rPr>
          <w:rFonts w:hint="eastAsia" w:ascii="楷体" w:hAnsi="楷体" w:eastAsia="楷体"/>
          <w:b/>
          <w:sz w:val="32"/>
          <w:szCs w:val="32"/>
        </w:rPr>
        <w:t xml:space="preserve">审 </w:t>
      </w:r>
      <w:r>
        <w:rPr>
          <w:rFonts w:ascii="楷体" w:hAnsi="楷体" w:eastAsia="楷体"/>
          <w:b/>
          <w:sz w:val="32"/>
          <w:szCs w:val="32"/>
        </w:rPr>
        <w:t xml:space="preserve">   </w:t>
      </w:r>
      <w:r>
        <w:rPr>
          <w:rFonts w:hint="eastAsia" w:ascii="楷体" w:hAnsi="楷体" w:eastAsia="楷体"/>
          <w:b/>
          <w:sz w:val="32"/>
          <w:szCs w:val="32"/>
        </w:rPr>
        <w:t>查：</w:t>
      </w:r>
      <w:r>
        <w:rPr>
          <w:rFonts w:hint="eastAsia" w:ascii="楷体" w:hAnsi="楷体" w:eastAsia="楷体"/>
          <w:b/>
          <w:sz w:val="32"/>
          <w:szCs w:val="32"/>
          <w:lang w:val="en-US" w:eastAsia="zh-CN"/>
        </w:rPr>
        <w:t xml:space="preserve"> 魏  煊</w:t>
      </w:r>
      <w:r>
        <w:rPr>
          <w:rFonts w:ascii="楷体" w:hAnsi="楷体" w:eastAsia="楷体"/>
          <w:b/>
          <w:sz w:val="32"/>
          <w:szCs w:val="32"/>
        </w:rPr>
        <w:t xml:space="preserve"> </w:t>
      </w:r>
    </w:p>
    <w:p>
      <w:pPr>
        <w:spacing w:line="840" w:lineRule="auto"/>
        <w:ind w:firstLine="643"/>
        <w:rPr>
          <w:rFonts w:hint="default" w:ascii="楷体" w:hAnsi="楷体" w:eastAsia="楷体"/>
          <w:b/>
          <w:sz w:val="32"/>
          <w:szCs w:val="32"/>
          <w:lang w:val="en-US" w:eastAsia="zh-CN"/>
        </w:rPr>
      </w:pPr>
      <w:r>
        <w:rPr>
          <w:rFonts w:hint="eastAsia" w:ascii="楷体" w:hAnsi="楷体" w:eastAsia="楷体"/>
          <w:b/>
          <w:sz w:val="32"/>
          <w:szCs w:val="32"/>
        </w:rPr>
        <w:t xml:space="preserve">校 </w:t>
      </w:r>
      <w:r>
        <w:rPr>
          <w:rFonts w:ascii="楷体" w:hAnsi="楷体" w:eastAsia="楷体"/>
          <w:b/>
          <w:sz w:val="32"/>
          <w:szCs w:val="32"/>
        </w:rPr>
        <w:t xml:space="preserve">   </w:t>
      </w:r>
      <w:r>
        <w:rPr>
          <w:rFonts w:hint="eastAsia" w:ascii="楷体" w:hAnsi="楷体" w:eastAsia="楷体"/>
          <w:b/>
          <w:sz w:val="32"/>
          <w:szCs w:val="32"/>
        </w:rPr>
        <w:t>核：</w:t>
      </w:r>
      <w:r>
        <w:rPr>
          <w:rFonts w:ascii="楷体" w:hAnsi="楷体" w:eastAsia="楷体"/>
          <w:b/>
          <w:sz w:val="32"/>
          <w:szCs w:val="32"/>
        </w:rPr>
        <w:t xml:space="preserve"> </w:t>
      </w:r>
      <w:r>
        <w:rPr>
          <w:rFonts w:hint="eastAsia" w:ascii="楷体" w:hAnsi="楷体" w:eastAsia="楷体"/>
          <w:b/>
          <w:sz w:val="32"/>
          <w:szCs w:val="32"/>
          <w:lang w:val="en-US" w:eastAsia="zh-CN"/>
        </w:rPr>
        <w:t>崔  健</w:t>
      </w:r>
    </w:p>
    <w:p>
      <w:pPr>
        <w:spacing w:line="840" w:lineRule="auto"/>
        <w:ind w:firstLine="643"/>
        <w:rPr>
          <w:rFonts w:hint="eastAsia" w:ascii="宋体" w:hAnsi="宋体" w:eastAsia="宋体"/>
          <w:sz w:val="32"/>
          <w:szCs w:val="32"/>
          <w:lang w:val="en-US" w:eastAsia="zh-CN"/>
        </w:rPr>
      </w:pPr>
      <w:r>
        <w:rPr>
          <w:rFonts w:hint="eastAsia" w:ascii="楷体" w:hAnsi="楷体" w:eastAsia="楷体"/>
          <w:b/>
          <w:sz w:val="32"/>
          <w:szCs w:val="32"/>
        </w:rPr>
        <w:t xml:space="preserve">编 </w:t>
      </w:r>
      <w:r>
        <w:rPr>
          <w:rFonts w:ascii="楷体" w:hAnsi="楷体" w:eastAsia="楷体"/>
          <w:b/>
          <w:sz w:val="32"/>
          <w:szCs w:val="32"/>
        </w:rPr>
        <w:t xml:space="preserve">   </w:t>
      </w:r>
      <w:r>
        <w:rPr>
          <w:rFonts w:hint="eastAsia" w:ascii="楷体" w:hAnsi="楷体" w:eastAsia="楷体"/>
          <w:b/>
          <w:sz w:val="32"/>
          <w:szCs w:val="32"/>
        </w:rPr>
        <w:t>写：</w:t>
      </w:r>
      <w:r>
        <w:rPr>
          <w:rFonts w:ascii="宋体" w:hAnsi="宋体"/>
          <w:sz w:val="32"/>
          <w:szCs w:val="32"/>
        </w:rPr>
        <w:t xml:space="preserve"> </w:t>
      </w:r>
      <w:r>
        <w:rPr>
          <w:rFonts w:hint="eastAsia" w:ascii="楷体" w:hAnsi="楷体" w:eastAsia="楷体"/>
          <w:b/>
          <w:sz w:val="32"/>
          <w:szCs w:val="32"/>
          <w:lang w:val="en-US" w:eastAsia="zh-CN"/>
        </w:rPr>
        <w:t>辛利珍</w:t>
      </w:r>
    </w:p>
    <w:p>
      <w:pPr>
        <w:spacing w:line="840" w:lineRule="auto"/>
        <w:ind w:firstLine="1600" w:firstLineChars="500"/>
        <w:rPr>
          <w:rFonts w:ascii="楷体" w:hAnsi="楷体" w:eastAsia="楷体"/>
          <w:b/>
          <w:sz w:val="32"/>
          <w:szCs w:val="32"/>
        </w:rPr>
      </w:pPr>
      <w:r>
        <w:rPr>
          <w:rFonts w:ascii="宋体" w:hAnsi="宋体"/>
          <w:sz w:val="32"/>
          <w:szCs w:val="32"/>
        </w:rPr>
        <w:t xml:space="preserve"> </w:t>
      </w:r>
    </w:p>
    <w:p>
      <w:pPr>
        <w:ind w:firstLine="560"/>
      </w:pPr>
    </w:p>
    <w:p>
      <w:pPr>
        <w:ind w:firstLine="560"/>
      </w:pPr>
    </w:p>
    <w:p>
      <w:pPr>
        <w:ind w:firstLine="560"/>
      </w:pPr>
    </w:p>
    <w:p>
      <w:pPr>
        <w:ind w:firstLine="198" w:firstLineChars="71"/>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ind w:firstLine="0" w:firstLineChars="0"/>
        <w:jc w:val="center"/>
        <w:rPr>
          <w:rFonts w:ascii="黑体" w:hAnsi="黑体" w:eastAsia="黑体"/>
          <w:sz w:val="32"/>
          <w:szCs w:val="32"/>
        </w:rPr>
      </w:pPr>
      <w:r>
        <w:rPr>
          <w:rFonts w:hint="eastAsia" w:ascii="黑体" w:hAnsi="黑体" w:eastAsia="黑体"/>
          <w:sz w:val="32"/>
          <w:szCs w:val="32"/>
        </w:rPr>
        <w:t xml:space="preserve">目 </w:t>
      </w:r>
      <w:r>
        <w:rPr>
          <w:rFonts w:ascii="黑体" w:hAnsi="黑体" w:eastAsia="黑体"/>
          <w:sz w:val="32"/>
          <w:szCs w:val="32"/>
        </w:rPr>
        <w:t xml:space="preserve"> </w:t>
      </w:r>
      <w:r>
        <w:rPr>
          <w:rFonts w:hint="eastAsia" w:ascii="黑体" w:hAnsi="黑体" w:eastAsia="黑体"/>
          <w:sz w:val="32"/>
          <w:szCs w:val="32"/>
        </w:rPr>
        <w:t>录</w:t>
      </w:r>
    </w:p>
    <w:p>
      <w:pPr>
        <w:pStyle w:val="27"/>
        <w:rPr>
          <w:rFonts w:asciiTheme="minorHAnsi" w:hAnsiTheme="minorHAnsi" w:eastAsiaTheme="minorEastAsia"/>
          <w:sz w:val="21"/>
        </w:rPr>
      </w:pPr>
      <w:r>
        <w:fldChar w:fldCharType="begin"/>
      </w:r>
      <w:r>
        <w:instrText xml:space="preserve"> TOC \o "1-3" \h \z \u </w:instrText>
      </w:r>
      <w:r>
        <w:fldChar w:fldCharType="separate"/>
      </w:r>
      <w:r>
        <w:fldChar w:fldCharType="begin"/>
      </w:r>
      <w:r>
        <w:instrText xml:space="preserve"> HYPERLINK \l "_Toc60218844" </w:instrText>
      </w:r>
      <w:r>
        <w:fldChar w:fldCharType="separate"/>
      </w:r>
      <w:r>
        <w:rPr>
          <w:rStyle w:val="42"/>
          <w:rFonts w:cs="Times New Roman"/>
          <w:bCs/>
          <w:kern w:val="0"/>
        </w:rPr>
        <w:t>前言</w:t>
      </w:r>
      <w:r>
        <w:tab/>
      </w:r>
      <w:r>
        <w:fldChar w:fldCharType="begin"/>
      </w:r>
      <w:r>
        <w:instrText xml:space="preserve"> PAGEREF _Toc60218844 \h </w:instrText>
      </w:r>
      <w:r>
        <w:fldChar w:fldCharType="separate"/>
      </w:r>
      <w:r>
        <w:t>1</w:t>
      </w:r>
      <w:r>
        <w:fldChar w:fldCharType="end"/>
      </w:r>
      <w:r>
        <w:fldChar w:fldCharType="end"/>
      </w:r>
    </w:p>
    <w:p>
      <w:pPr>
        <w:pStyle w:val="27"/>
        <w:rPr>
          <w:rFonts w:asciiTheme="minorHAnsi" w:hAnsiTheme="minorHAnsi" w:eastAsiaTheme="minorEastAsia"/>
          <w:sz w:val="21"/>
        </w:rPr>
      </w:pPr>
      <w:r>
        <w:fldChar w:fldCharType="begin"/>
      </w:r>
      <w:r>
        <w:instrText xml:space="preserve"> HYPERLINK \l "_Toc60218845" </w:instrText>
      </w:r>
      <w:r>
        <w:fldChar w:fldCharType="separate"/>
      </w:r>
      <w:r>
        <w:rPr>
          <w:rStyle w:val="42"/>
          <w:rFonts w:cs="Times New Roman"/>
          <w:bCs/>
          <w:kern w:val="0"/>
        </w:rPr>
        <w:t>第一章  基本情况</w:t>
      </w:r>
      <w:r>
        <w:tab/>
      </w:r>
      <w:r>
        <w:fldChar w:fldCharType="begin"/>
      </w:r>
      <w:r>
        <w:instrText xml:space="preserve"> PAGEREF _Toc60218845 \h </w:instrText>
      </w:r>
      <w:r>
        <w:fldChar w:fldCharType="separate"/>
      </w:r>
      <w:r>
        <w:t>3</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"_Toc60218846" </w:instrText>
      </w:r>
      <w:r>
        <w:fldChar w:fldCharType="separate"/>
      </w:r>
      <w:r>
        <w:rPr>
          <w:rStyle w:val="42"/>
          <w:rFonts w:cs="Times New Roman"/>
          <w:bCs/>
          <w:kern w:val="0"/>
        </w:rPr>
        <w:t>1.1 基本概况</w:t>
      </w:r>
      <w:r>
        <w:tab/>
      </w:r>
      <w:r>
        <w:fldChar w:fldCharType="begin"/>
      </w:r>
      <w:r>
        <w:instrText xml:space="preserve"> PAGEREF _Toc60218846 \h </w:instrText>
      </w:r>
      <w:r>
        <w:fldChar w:fldCharType="separate"/>
      </w:r>
      <w:r>
        <w:t>3</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"_Toc60218849" </w:instrText>
      </w:r>
      <w:r>
        <w:fldChar w:fldCharType="separate"/>
      </w:r>
      <w:r>
        <w:rPr>
          <w:rStyle w:val="42"/>
          <w:rFonts w:cs="Times New Roman"/>
          <w:bCs/>
          <w:kern w:val="0"/>
        </w:rPr>
        <w:t>1.2 气象水文</w:t>
      </w:r>
      <w:r>
        <w:tab/>
      </w:r>
      <w:r>
        <w:fldChar w:fldCharType="begin"/>
      </w:r>
      <w:r>
        <w:instrText xml:space="preserve"> PAGEREF _Toc60218849 \h </w:instrText>
      </w:r>
      <w:r>
        <w:fldChar w:fldCharType="separate"/>
      </w:r>
      <w:r>
        <w:t>8</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"_Toc60218850" </w:instrText>
      </w:r>
      <w:r>
        <w:fldChar w:fldCharType="separate"/>
      </w:r>
      <w:r>
        <w:rPr>
          <w:rStyle w:val="42"/>
          <w:rFonts w:cs="Times New Roman"/>
          <w:bCs/>
          <w:kern w:val="0"/>
        </w:rPr>
        <w:t>1.3 水库管理范围划定情况</w:t>
      </w:r>
      <w:r>
        <w:tab/>
      </w:r>
      <w:r>
        <w:fldChar w:fldCharType="begin"/>
      </w:r>
      <w:r>
        <w:instrText xml:space="preserve"> PAGEREF _Toc60218850 \h </w:instrText>
      </w:r>
      <w:r>
        <w:fldChar w:fldCharType="separate"/>
      </w:r>
      <w:r>
        <w:t>10</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"_Toc60218851" </w:instrText>
      </w:r>
      <w:r>
        <w:fldChar w:fldCharType="separate"/>
      </w:r>
      <w:r>
        <w:rPr>
          <w:rStyle w:val="42"/>
          <w:rFonts w:cs="Times New Roman"/>
          <w:bCs/>
          <w:kern w:val="0"/>
        </w:rPr>
        <w:t>1.4 工作任务及范围</w:t>
      </w:r>
      <w:r>
        <w:tab/>
      </w:r>
      <w:r>
        <w:fldChar w:fldCharType="begin"/>
      </w:r>
      <w:r>
        <w:instrText xml:space="preserve"> PAGEREF _Toc60218851 \h </w:instrText>
      </w:r>
      <w:r>
        <w:fldChar w:fldCharType="separate"/>
      </w:r>
      <w:r>
        <w:t>12</w:t>
      </w:r>
      <w:r>
        <w:fldChar w:fldCharType="end"/>
      </w:r>
      <w:r>
        <w:fldChar w:fldCharType="end"/>
      </w:r>
    </w:p>
    <w:p>
      <w:pPr>
        <w:pStyle w:val="27"/>
        <w:rPr>
          <w:rFonts w:asciiTheme="minorHAnsi" w:hAnsiTheme="minorHAnsi" w:eastAsiaTheme="minorEastAsia"/>
          <w:sz w:val="21"/>
        </w:rPr>
      </w:pPr>
      <w:r>
        <w:fldChar w:fldCharType="begin"/>
      </w:r>
      <w:r>
        <w:instrText xml:space="preserve"> HYPERLINK \l "_Toc60218852" </w:instrText>
      </w:r>
      <w:r>
        <w:fldChar w:fldCharType="separate"/>
      </w:r>
      <w:r>
        <w:rPr>
          <w:rStyle w:val="42"/>
          <w:rFonts w:cs="Times New Roman"/>
          <w:bCs/>
          <w:kern w:val="0"/>
        </w:rPr>
        <w:t>第二章  编制依据</w:t>
      </w:r>
      <w:r>
        <w:tab/>
      </w:r>
      <w:r>
        <w:fldChar w:fldCharType="begin"/>
      </w:r>
      <w:r>
        <w:instrText xml:space="preserve"> PAGEREF _Toc60218852 \h </w:instrText>
      </w:r>
      <w:r>
        <w:fldChar w:fldCharType="separate"/>
      </w:r>
      <w:r>
        <w:t>13</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"_Toc60218853" </w:instrText>
      </w:r>
      <w:r>
        <w:fldChar w:fldCharType="separate"/>
      </w:r>
      <w:r>
        <w:rPr>
          <w:rStyle w:val="42"/>
          <w:rFonts w:cs="Times New Roman"/>
          <w:bCs/>
          <w:kern w:val="0"/>
        </w:rPr>
        <w:t>2.1 法律法规</w:t>
      </w:r>
      <w:r>
        <w:tab/>
      </w:r>
      <w:r>
        <w:fldChar w:fldCharType="begin"/>
      </w:r>
      <w:r>
        <w:instrText xml:space="preserve"> PAGEREF _Toc60218853 \h </w:instrText>
      </w:r>
      <w:r>
        <w:fldChar w:fldCharType="separate"/>
      </w:r>
      <w:r>
        <w:t>13</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"_Toc60218854" </w:instrText>
      </w:r>
      <w:r>
        <w:fldChar w:fldCharType="separate"/>
      </w:r>
      <w:r>
        <w:rPr>
          <w:rStyle w:val="42"/>
          <w:rFonts w:cs="Times New Roman"/>
          <w:bCs/>
          <w:kern w:val="0"/>
        </w:rPr>
        <w:t>2.2 规范规程</w:t>
      </w:r>
      <w:r>
        <w:tab/>
      </w:r>
      <w:r>
        <w:fldChar w:fldCharType="begin"/>
      </w:r>
      <w:r>
        <w:instrText xml:space="preserve"> PAGEREF _Toc60218854 \h </w:instrText>
      </w:r>
      <w:r>
        <w:fldChar w:fldCharType="separate"/>
      </w:r>
      <w:r>
        <w:t>13</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"_Toc60218855" </w:instrText>
      </w:r>
      <w:r>
        <w:fldChar w:fldCharType="separate"/>
      </w:r>
      <w:r>
        <w:rPr>
          <w:rStyle w:val="42"/>
          <w:rFonts w:cs="Times New Roman"/>
          <w:bCs/>
          <w:kern w:val="0"/>
        </w:rPr>
        <w:t>2.3 相关文件</w:t>
      </w:r>
      <w:r>
        <w:tab/>
      </w:r>
      <w:r>
        <w:fldChar w:fldCharType="begin"/>
      </w:r>
      <w:r>
        <w:instrText xml:space="preserve"> PAGEREF _Toc60218855 \h </w:instrText>
      </w:r>
      <w:r>
        <w:fldChar w:fldCharType="separate"/>
      </w:r>
      <w:r>
        <w:t>14</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"_Toc60218856" </w:instrText>
      </w:r>
      <w:r>
        <w:fldChar w:fldCharType="separate"/>
      </w:r>
      <w:r>
        <w:rPr>
          <w:rStyle w:val="42"/>
          <w:rFonts w:cs="Times New Roman"/>
          <w:bCs/>
          <w:kern w:val="0"/>
        </w:rPr>
        <w:t>2.4 相关技术成果</w:t>
      </w:r>
      <w:r>
        <w:tab/>
      </w:r>
      <w:r>
        <w:fldChar w:fldCharType="begin"/>
      </w:r>
      <w:r>
        <w:instrText xml:space="preserve"> PAGEREF _Toc60218856 \h </w:instrText>
      </w:r>
      <w:r>
        <w:fldChar w:fldCharType="separate"/>
      </w:r>
      <w:r>
        <w:t>15</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"_Toc60218857" </w:instrText>
      </w:r>
      <w:r>
        <w:fldChar w:fldCharType="separate"/>
      </w:r>
      <w:r>
        <w:rPr>
          <w:rStyle w:val="42"/>
          <w:rFonts w:cs="Times New Roman"/>
          <w:bCs/>
          <w:kern w:val="0"/>
        </w:rPr>
        <w:t>2.5 测绘及遥感影像</w:t>
      </w:r>
      <w:r>
        <w:tab/>
      </w:r>
      <w:r>
        <w:fldChar w:fldCharType="begin"/>
      </w:r>
      <w:r>
        <w:instrText xml:space="preserve"> PAGEREF _Toc60218857 \h </w:instrText>
      </w:r>
      <w:r>
        <w:fldChar w:fldCharType="separate"/>
      </w:r>
      <w:r>
        <w:t>16</w:t>
      </w:r>
      <w:r>
        <w:fldChar w:fldCharType="end"/>
      </w:r>
      <w:r>
        <w:fldChar w:fldCharType="end"/>
      </w:r>
    </w:p>
    <w:p>
      <w:pPr>
        <w:pStyle w:val="27"/>
        <w:rPr>
          <w:rFonts w:asciiTheme="minorHAnsi" w:hAnsiTheme="minorHAnsi" w:eastAsiaTheme="minorEastAsia"/>
          <w:sz w:val="21"/>
        </w:rPr>
      </w:pPr>
      <w:r>
        <w:fldChar w:fldCharType="begin"/>
      </w:r>
      <w:r>
        <w:instrText xml:space="preserve"> HYPERLINK \l "_Toc60218858" </w:instrText>
      </w:r>
      <w:r>
        <w:fldChar w:fldCharType="separate"/>
      </w:r>
      <w:r>
        <w:rPr>
          <w:rStyle w:val="42"/>
        </w:rPr>
        <w:t>第三章  划定方法</w:t>
      </w:r>
      <w:r>
        <w:tab/>
      </w:r>
      <w:r>
        <w:fldChar w:fldCharType="begin"/>
      </w:r>
      <w:r>
        <w:instrText xml:space="preserve"> PAGEREF _Toc60218858 \h </w:instrText>
      </w:r>
      <w:r>
        <w:fldChar w:fldCharType="separate"/>
      </w:r>
      <w:r>
        <w:t>18</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"_Toc60218859" </w:instrText>
      </w:r>
      <w:r>
        <w:fldChar w:fldCharType="separate"/>
      </w:r>
      <w:r>
        <w:rPr>
          <w:rStyle w:val="42"/>
          <w:rFonts w:cs="Times New Roman"/>
          <w:bCs/>
          <w:kern w:val="0"/>
        </w:rPr>
        <w:t>3.1 划定原则</w:t>
      </w:r>
      <w:r>
        <w:tab/>
      </w:r>
      <w:r>
        <w:fldChar w:fldCharType="begin"/>
      </w:r>
      <w:r>
        <w:instrText xml:space="preserve"> PAGEREF _Toc60218859 \h </w:instrText>
      </w:r>
      <w:r>
        <w:fldChar w:fldCharType="separate"/>
      </w:r>
      <w:r>
        <w:t>18</w:t>
      </w:r>
      <w:r>
        <w:fldChar w:fldCharType="end"/>
      </w:r>
      <w:r>
        <w:fldChar w:fldCharType="end"/>
      </w:r>
    </w:p>
    <w:p>
      <w:pPr>
        <w:pStyle w:val="32"/>
        <w:tabs>
          <w:tab w:val="right" w:leader="dot" w:pos="8296"/>
        </w:tabs>
        <w:ind w:left="560" w:firstLine="0" w:firstLineChars="0"/>
        <w:rPr>
          <w:rFonts w:asciiTheme="minorHAnsi" w:hAnsiTheme="minorHAnsi" w:eastAsiaTheme="minorEastAsia"/>
          <w:sz w:val="21"/>
        </w:rPr>
      </w:pPr>
      <w:r>
        <w:fldChar w:fldCharType="begin"/>
      </w:r>
      <w:r>
        <w:instrText xml:space="preserve"> HYPERLINK \l "_Toc60218860" </w:instrText>
      </w:r>
      <w:r>
        <w:fldChar w:fldCharType="separate"/>
      </w:r>
      <w:r>
        <w:rPr>
          <w:rStyle w:val="42"/>
          <w:rFonts w:cs="Times New Roman"/>
          <w:bCs/>
          <w:kern w:val="0"/>
        </w:rPr>
        <w:t>3.2 划定方法</w:t>
      </w:r>
      <w:r>
        <w:tab/>
      </w:r>
      <w:r>
        <w:fldChar w:fldCharType="begin"/>
      </w:r>
      <w:r>
        <w:instrText xml:space="preserve"> PAGEREF _Toc60218860 \h </w:instrText>
      </w:r>
      <w:r>
        <w:fldChar w:fldCharType="separate"/>
      </w:r>
      <w:r>
        <w:t>19</w:t>
      </w:r>
      <w:r>
        <w:fldChar w:fldCharType="end"/>
      </w:r>
      <w:r>
        <w:fldChar w:fldCharType="end"/>
      </w:r>
    </w:p>
    <w:p>
      <w:pPr>
        <w:pStyle w:val="27"/>
        <w:rPr>
          <w:rFonts w:asciiTheme="minorHAnsi" w:hAnsiTheme="minorHAnsi" w:eastAsiaTheme="minorEastAsia"/>
          <w:sz w:val="21"/>
        </w:rPr>
      </w:pPr>
      <w:r>
        <w:fldChar w:fldCharType="begin"/>
      </w:r>
      <w:r>
        <w:instrText xml:space="preserve"> HYPERLINK \l "_Toc60218861" </w:instrText>
      </w:r>
      <w:r>
        <w:fldChar w:fldCharType="separate"/>
      </w:r>
      <w:r>
        <w:rPr>
          <w:rStyle w:val="42"/>
        </w:rPr>
        <w:t>第四章  管理范围和保护范围划定</w:t>
      </w:r>
      <w:r>
        <w:tab/>
      </w:r>
      <w:r>
        <w:fldChar w:fldCharType="begin"/>
      </w:r>
      <w:r>
        <w:instrText xml:space="preserve"> PAGEREF _Toc60218861 \h </w:instrText>
      </w:r>
      <w:r>
        <w:fldChar w:fldCharType="separate"/>
      </w:r>
      <w:r>
        <w:t>22</w:t>
      </w:r>
      <w:r>
        <w:fldChar w:fldCharType="end"/>
      </w:r>
      <w:r>
        <w:fldChar w:fldCharType="end"/>
      </w:r>
    </w:p>
    <w:p>
      <w:pPr>
        <w:pStyle w:val="19"/>
        <w:tabs>
          <w:tab w:val="right" w:leader="dot" w:pos="8296"/>
        </w:tabs>
        <w:ind w:left="0" w:leftChars="0" w:firstLine="0" w:firstLineChars="0"/>
        <w:rPr>
          <w:rFonts w:asciiTheme="minorHAnsi" w:hAnsiTheme="minorHAnsi" w:eastAsiaTheme="minorEastAsia"/>
          <w:sz w:val="21"/>
        </w:rPr>
      </w:pPr>
      <w:r>
        <w:fldChar w:fldCharType="begin"/>
      </w:r>
      <w:r>
        <w:instrText xml:space="preserve"> HYPERLINK \l "_Toc60218862" </w:instrText>
      </w:r>
      <w:r>
        <w:fldChar w:fldCharType="separate"/>
      </w:r>
      <w:r>
        <w:rPr>
          <w:rStyle w:val="42"/>
        </w:rPr>
        <w:t xml:space="preserve">附表1  </w:t>
      </w:r>
      <w:r>
        <w:rPr>
          <w:rStyle w:val="42"/>
          <w:rFonts w:hint="eastAsia"/>
        </w:rPr>
        <w:t>哈拉沁</w:t>
      </w:r>
      <w:r>
        <w:rPr>
          <w:rStyle w:val="42"/>
        </w:rPr>
        <w:t>水库管理范围拐角点坐标表</w:t>
      </w:r>
      <w:r>
        <w:tab/>
      </w:r>
      <w:r>
        <w:fldChar w:fldCharType="begin"/>
      </w:r>
      <w:r>
        <w:instrText xml:space="preserve"> PAGEREF _Toc60218862 \h </w:instrText>
      </w:r>
      <w:r>
        <w:fldChar w:fldCharType="separate"/>
      </w:r>
      <w:r>
        <w:t>26</w:t>
      </w:r>
      <w:r>
        <w:fldChar w:fldCharType="end"/>
      </w:r>
      <w:r>
        <w:fldChar w:fldCharType="end"/>
      </w:r>
    </w:p>
    <w:p>
      <w:pPr>
        <w:pStyle w:val="19"/>
        <w:tabs>
          <w:tab w:val="right" w:leader="dot" w:pos="8296"/>
        </w:tabs>
        <w:ind w:left="0" w:leftChars="0" w:firstLine="0" w:firstLineChars="0"/>
        <w:rPr>
          <w:rFonts w:asciiTheme="minorHAnsi" w:hAnsiTheme="minorHAnsi" w:eastAsiaTheme="minorEastAsia"/>
          <w:sz w:val="21"/>
        </w:rPr>
      </w:pPr>
      <w:r>
        <w:fldChar w:fldCharType="begin"/>
      </w:r>
      <w:r>
        <w:instrText xml:space="preserve"> HYPERLINK \l "_Toc60218863" </w:instrText>
      </w:r>
      <w:r>
        <w:fldChar w:fldCharType="separate"/>
      </w:r>
      <w:r>
        <w:rPr>
          <w:rStyle w:val="42"/>
        </w:rPr>
        <w:t xml:space="preserve">附表2  </w:t>
      </w:r>
      <w:r>
        <w:rPr>
          <w:rStyle w:val="42"/>
          <w:rFonts w:hint="eastAsia"/>
        </w:rPr>
        <w:t>哈拉沁</w:t>
      </w:r>
      <w:r>
        <w:rPr>
          <w:rStyle w:val="42"/>
        </w:rPr>
        <w:t>水库保护范围拐角点坐标表</w:t>
      </w:r>
      <w:r>
        <w:tab/>
      </w:r>
      <w:r>
        <w:fldChar w:fldCharType="begin"/>
      </w:r>
      <w:r>
        <w:instrText xml:space="preserve"> PAGEREF _Toc60218863 \h </w:instrText>
      </w:r>
      <w:r>
        <w:fldChar w:fldCharType="separate"/>
      </w:r>
      <w:r>
        <w:t>33</w:t>
      </w:r>
      <w:r>
        <w:fldChar w:fldCharType="end"/>
      </w:r>
      <w:r>
        <w:fldChar w:fldCharType="end"/>
      </w:r>
    </w:p>
    <w:p>
      <w:pPr>
        <w:ind w:firstLine="0" w:firstLineChars="0"/>
      </w:pPr>
      <w:r>
        <w:fldChar w:fldCharType="end"/>
      </w:r>
    </w:p>
    <w:p>
      <w:pPr>
        <w:ind w:firstLine="0" w:firstLineChars="0"/>
        <w:sectPr>
          <w:headerReference r:id="rId11" w:type="default"/>
          <w:footerReference r:id="rId12" w:type="default"/>
          <w:pgSz w:w="11906" w:h="16838"/>
          <w:pgMar w:top="1440" w:right="1800" w:bottom="1440" w:left="1800" w:header="851" w:footer="992" w:gutter="0"/>
          <w:pgNumType w:fmt="lowerRoman" w:start="1"/>
          <w:cols w:space="425" w:num="1"/>
          <w:docGrid w:type="lines" w:linePitch="312" w:charSpace="0"/>
        </w:sectPr>
      </w:pPr>
    </w:p>
    <w:p>
      <w:pPr>
        <w:keepNext/>
        <w:keepLines/>
        <w:widowControl/>
        <w:spacing w:before="156" w:beforeLines="50" w:after="156" w:afterLines="50"/>
        <w:ind w:firstLine="0" w:firstLineChars="0"/>
        <w:jc w:val="center"/>
        <w:outlineLvl w:val="0"/>
        <w:rPr>
          <w:rFonts w:cs="Times New Roman"/>
          <w:b/>
          <w:bCs/>
          <w:kern w:val="0"/>
          <w:sz w:val="32"/>
          <w:szCs w:val="28"/>
        </w:rPr>
      </w:pPr>
      <w:bookmarkStart w:id="0" w:name="_Toc60218844"/>
      <w:r>
        <w:rPr>
          <w:rFonts w:hint="eastAsia" w:cs="Times New Roman"/>
          <w:b/>
          <w:bCs/>
          <w:kern w:val="0"/>
          <w:sz w:val="32"/>
          <w:szCs w:val="28"/>
        </w:rPr>
        <w:t>前言</w:t>
      </w:r>
      <w:bookmarkEnd w:id="0"/>
    </w:p>
    <w:p>
      <w:pPr>
        <w:ind w:firstLine="560"/>
      </w:pPr>
      <w:r>
        <w:rPr>
          <w:rFonts w:hint="eastAsia"/>
        </w:rPr>
        <w:t>依法划定水利工程管理范围和保护范围，明确工程管理界限，是我国现行《水法》《防洪法》《河道管理条例》《水库大坝安全管理条例》等法律法规作出的明确规定。划定管理和保护范围，是“水利工程补短板，水利行业强监管”的重要基础工作，是规范水利工程运行管理、确保工程安全和效益充分发挥的重要抓手，是依法管理水资源与水利工程的重要保障，是逐步确定管理范围内的土地使用权属的基础和前提。</w:t>
      </w:r>
    </w:p>
    <w:p>
      <w:pPr>
        <w:ind w:firstLine="560"/>
      </w:pPr>
      <w:r>
        <w:rPr>
          <w:rFonts w:hint="eastAsia"/>
        </w:rPr>
        <w:t>2020年5月25日，内蒙古自治区水利厅下发了《关于进一步加快推进水利工程划界工作的通知》（内水运管</w:t>
      </w:r>
      <w:r>
        <w:rPr>
          <w:rFonts w:hint="eastAsia" w:ascii="仿宋" w:hAnsi="仿宋" w:eastAsia="仿宋"/>
        </w:rPr>
        <w:t>〔2020〕44号</w:t>
      </w:r>
      <w:r>
        <w:rPr>
          <w:rFonts w:hint="eastAsia"/>
        </w:rPr>
        <w:t>），要求对全区水利工程管理范围和保护范围进行划界工作。</w:t>
      </w:r>
    </w:p>
    <w:p>
      <w:pPr>
        <w:ind w:firstLine="560"/>
      </w:pPr>
      <w:r>
        <w:rPr>
          <w:rFonts w:hint="eastAsia"/>
        </w:rPr>
        <w:t>202</w:t>
      </w:r>
      <w:r>
        <w:t>2</w:t>
      </w:r>
      <w:r>
        <w:rPr>
          <w:rFonts w:hint="eastAsia"/>
        </w:rPr>
        <w:t>年</w:t>
      </w:r>
      <w:r>
        <w:t>12</w:t>
      </w:r>
      <w:r>
        <w:rPr>
          <w:rFonts w:hint="eastAsia"/>
        </w:rPr>
        <w:t>月，呼和浩特市鑫图测绘工程有限责任公司承担对呼和浩特市哈拉沁水库工程进行划界，明确水利工程的管理范围和保护范围。</w:t>
      </w:r>
    </w:p>
    <w:p>
      <w:pPr>
        <w:ind w:firstLine="560"/>
      </w:pPr>
      <w:r>
        <w:rPr>
          <w:rFonts w:hint="eastAsia"/>
        </w:rPr>
        <w:t>哈拉沁水库属于呼和浩特市武川县行政区，由春华水务公司管理，</w:t>
      </w:r>
      <w:r>
        <w:rPr>
          <w:szCs w:val="20"/>
        </w:rPr>
        <w:t>哈拉沁水库</w:t>
      </w:r>
      <w:r>
        <w:rPr>
          <w:rFonts w:hint="eastAsia"/>
          <w:szCs w:val="20"/>
        </w:rPr>
        <w:t>防洪、</w:t>
      </w:r>
      <w:r>
        <w:rPr>
          <w:rFonts w:hint="eastAsia"/>
          <w:bCs/>
          <w:color w:val="000000"/>
        </w:rPr>
        <w:t>灌溉、供水等综合利用的中型水库</w:t>
      </w:r>
      <w:r>
        <w:rPr>
          <w:rFonts w:cs="Times New Roman"/>
        </w:rPr>
        <w:t>，</w:t>
      </w:r>
      <w:r>
        <w:rPr>
          <w:rFonts w:hint="eastAsia"/>
          <w:color w:val="000000"/>
        </w:rPr>
        <w:t>水库总库容</w:t>
      </w:r>
      <w:r>
        <w:rPr>
          <w:color w:val="000000"/>
        </w:rPr>
        <w:t>6730</w:t>
      </w:r>
      <w:r>
        <w:rPr>
          <w:rFonts w:hint="eastAsia"/>
          <w:color w:val="000000"/>
        </w:rPr>
        <w:t>万m</w:t>
      </w:r>
      <w:r>
        <w:rPr>
          <w:rFonts w:hint="eastAsia"/>
          <w:color w:val="000000"/>
          <w:vertAlign w:val="superscript"/>
        </w:rPr>
        <w:t>3</w:t>
      </w:r>
      <w:r>
        <w:rPr>
          <w:rFonts w:hint="eastAsia" w:cs="Times New Roman"/>
        </w:rPr>
        <w:t>。本次在2019年底呼和浩特市完成的市级河湖管理范围划定成果基础上，对哈拉沁水库及周边进行测绘，</w:t>
      </w:r>
      <w:r>
        <w:rPr>
          <w:rFonts w:hint="eastAsia"/>
        </w:rPr>
        <w:t>依据《水库工程管理设计规范》（SL106-2017）、《内蒙古自治区水工程管理和保护范围划定标准》等标准规范，结合实际情况，划定哈拉沁水库管理范围和保护范围，最终确定哈拉沁水库管理范围</w:t>
      </w:r>
      <w:r>
        <w:t>7623</w:t>
      </w:r>
      <w:r>
        <w:rPr>
          <w:rFonts w:hint="eastAsia"/>
        </w:rPr>
        <w:t>亩、保护范围</w:t>
      </w:r>
      <w:r>
        <w:t>19769</w:t>
      </w:r>
      <w:r>
        <w:rPr>
          <w:rFonts w:hint="eastAsia"/>
        </w:rPr>
        <w:t>亩。本次报告中</w:t>
      </w:r>
      <w:r>
        <w:rPr>
          <w:rFonts w:cs="Times New Roman"/>
        </w:rPr>
        <w:t>平面坐标系统采用2000国家大地坐标系，高斯投影3°分带，中央子午线111°，高程基准采用1985国家高程基准。</w:t>
      </w:r>
    </w:p>
    <w:p>
      <w:pPr>
        <w:ind w:firstLine="560"/>
      </w:pPr>
    </w:p>
    <w:p>
      <w:pPr>
        <w:ind w:firstLine="560"/>
      </w:pPr>
    </w:p>
    <w:p>
      <w:pPr>
        <w:ind w:firstLine="560"/>
      </w:pPr>
    </w:p>
    <w:p>
      <w:pPr>
        <w:ind w:firstLine="560"/>
        <w:sectPr>
          <w:headerReference r:id="rId13" w:type="default"/>
          <w:footerReference r:id="rId14" w:type="default"/>
          <w:pgSz w:w="11906" w:h="16838"/>
          <w:pgMar w:top="1440" w:right="1800" w:bottom="1440" w:left="1800" w:header="851" w:footer="992" w:gutter="0"/>
          <w:pgNumType w:start="1"/>
          <w:cols w:space="425" w:num="1"/>
          <w:docGrid w:type="lines" w:linePitch="312" w:charSpace="0"/>
        </w:sectPr>
      </w:pPr>
    </w:p>
    <w:p>
      <w:pPr>
        <w:keepNext/>
        <w:keepLines/>
        <w:widowControl/>
        <w:spacing w:before="156" w:beforeLines="50" w:after="156" w:afterLines="50"/>
        <w:ind w:firstLine="0" w:firstLineChars="0"/>
        <w:jc w:val="center"/>
        <w:outlineLvl w:val="0"/>
        <w:rPr>
          <w:rFonts w:cs="Times New Roman"/>
          <w:b/>
          <w:bCs/>
          <w:kern w:val="0"/>
          <w:sz w:val="32"/>
          <w:szCs w:val="28"/>
        </w:rPr>
      </w:pPr>
      <w:bookmarkStart w:id="1" w:name="_Toc60218845"/>
      <w:r>
        <w:rPr>
          <w:rFonts w:hint="eastAsia" w:cs="Times New Roman"/>
          <w:b/>
          <w:bCs/>
          <w:kern w:val="0"/>
          <w:sz w:val="32"/>
          <w:szCs w:val="28"/>
        </w:rPr>
        <w:t>第一章  基本情况</w:t>
      </w:r>
      <w:bookmarkEnd w:id="1"/>
    </w:p>
    <w:p>
      <w:pPr>
        <w:keepNext/>
        <w:keepLines/>
        <w:widowControl/>
        <w:spacing w:before="156" w:beforeLines="50" w:after="156" w:afterLines="50"/>
        <w:ind w:firstLine="0" w:firstLineChars="0"/>
        <w:outlineLvl w:val="1"/>
        <w:rPr>
          <w:rFonts w:cs="Times New Roman"/>
          <w:b/>
          <w:bCs/>
          <w:kern w:val="0"/>
          <w:sz w:val="30"/>
          <w:szCs w:val="26"/>
        </w:rPr>
      </w:pPr>
      <w:bookmarkStart w:id="2" w:name="_Toc60218846"/>
      <w:r>
        <w:rPr>
          <w:rFonts w:cs="Times New Roman"/>
          <w:b/>
          <w:bCs/>
          <w:kern w:val="0"/>
          <w:sz w:val="30"/>
          <w:szCs w:val="26"/>
        </w:rPr>
        <w:t xml:space="preserve">1.1 </w:t>
      </w:r>
      <w:r>
        <w:rPr>
          <w:rFonts w:hint="eastAsia" w:cs="Times New Roman"/>
          <w:b/>
          <w:bCs/>
          <w:kern w:val="0"/>
          <w:sz w:val="30"/>
          <w:szCs w:val="26"/>
        </w:rPr>
        <w:t>基本概况</w:t>
      </w:r>
      <w:bookmarkEnd w:id="2"/>
    </w:p>
    <w:p>
      <w:pPr>
        <w:keepNext/>
        <w:keepLines/>
        <w:widowControl/>
        <w:spacing w:before="156" w:beforeLines="50" w:after="156" w:afterLines="50"/>
        <w:ind w:firstLine="0" w:firstLineChars="0"/>
        <w:outlineLvl w:val="2"/>
        <w:rPr>
          <w:rFonts w:cs="Times New Roman"/>
          <w:b/>
          <w:bCs/>
          <w:kern w:val="0"/>
        </w:rPr>
      </w:pPr>
      <w:bookmarkStart w:id="3" w:name="_Toc60218847"/>
      <w:bookmarkStart w:id="4" w:name="_Toc51411331"/>
      <w:r>
        <w:rPr>
          <w:rFonts w:cs="Times New Roman"/>
          <w:b/>
          <w:bCs/>
          <w:kern w:val="0"/>
        </w:rPr>
        <w:t>1</w:t>
      </w:r>
      <w:r>
        <w:rPr>
          <w:rFonts w:hint="eastAsia" w:cs="Times New Roman"/>
          <w:b/>
          <w:bCs/>
          <w:kern w:val="0"/>
        </w:rPr>
        <w:t>.</w:t>
      </w:r>
      <w:r>
        <w:rPr>
          <w:rFonts w:cs="Times New Roman"/>
          <w:b/>
          <w:bCs/>
          <w:kern w:val="0"/>
        </w:rPr>
        <w:t>1</w:t>
      </w:r>
      <w:r>
        <w:rPr>
          <w:rFonts w:hint="eastAsia" w:cs="Times New Roman"/>
          <w:b/>
          <w:bCs/>
          <w:kern w:val="0"/>
        </w:rPr>
        <w:t>.1 河流概况</w:t>
      </w:r>
      <w:bookmarkEnd w:id="3"/>
      <w:bookmarkEnd w:id="4"/>
    </w:p>
    <w:p>
      <w:pPr>
        <w:ind w:firstLine="560"/>
        <w:rPr>
          <w:szCs w:val="20"/>
        </w:rPr>
      </w:pPr>
      <w:r>
        <w:rPr>
          <w:szCs w:val="20"/>
        </w:rPr>
        <w:t>哈拉沁水库地处内蒙古自治区呼和浩特市正北约25km，位于武川县大豆铺乡卯独庆村南1.5km峡谷入口处，沟长58km，控制流域面积621km</w:t>
      </w:r>
      <w:r>
        <w:rPr>
          <w:szCs w:val="20"/>
          <w:vertAlign w:val="superscript"/>
        </w:rPr>
        <w:t>2</w:t>
      </w:r>
      <w:r>
        <w:rPr>
          <w:szCs w:val="20"/>
        </w:rPr>
        <w:t>，占该沟全</w:t>
      </w:r>
      <w:r>
        <w:t>流域面积706 km</w:t>
      </w:r>
      <w:r>
        <w:rPr>
          <w:vertAlign w:val="superscript"/>
        </w:rPr>
        <w:t>2</w:t>
      </w:r>
      <w:r>
        <w:rPr>
          <w:szCs w:val="20"/>
        </w:rPr>
        <w:t>的88％，年均径流量2262万m</w:t>
      </w:r>
      <w:r>
        <w:rPr>
          <w:vertAlign w:val="superscript"/>
        </w:rPr>
        <w:t>3</w:t>
      </w:r>
      <w:r>
        <w:rPr>
          <w:szCs w:val="20"/>
        </w:rPr>
        <w:t>。地理坐标介于标111°41’40″～111°42’40″E，41°0’15″～49°2’00″N之间。</w:t>
      </w:r>
    </w:p>
    <w:p>
      <w:pPr>
        <w:ind w:firstLine="560"/>
      </w:pPr>
      <w:r>
        <w:t>哈拉沁沟属于黄河一级支流大黑河的主要支流－小黑河支流。发源于大青山北麓安字号乡瑞生金村。沟头至大坝39.9km，大坝下游约 9.5km 即出山口后进入呼和浩特市城区北侧的哈拉沁生态公园，后经呼包高速公路桥、110国道桥、京包铁路桥、东风大桥，沿呼和浩特市新城区东侧的如意开发区汇入小黑河，城区河段长度35km。地理位置图见图1。</w:t>
      </w:r>
    </w:p>
    <w:p>
      <w:pPr>
        <w:ind w:firstLine="560"/>
      </w:pPr>
      <w:r>
        <w:t>哈拉沁沟在卯独庆村以上为丘陵半农半牧区，两岸开阔，地势较为平坦，山坡多为耕地，河床为砂砾，比降较平缓，大坝以上无水利工程，属于单库。在卯独庆村（大坝）以下，进入峡谷，两岸高山陡峻，岩石裸露、河床为块石和孤石，卯独庆村至哈拉沁沟口，平均河道比降为1.6%左右，大坝以下流域面积占哈拉沁沟口（哈拉沁水文站）控制面积的22%，按流域面积折算，哈拉沁沟口（哈拉沁水文站）洪峰流量和年均径流量均为哈拉沁沟全流域的22%。哈拉沁水库坝址处流域分布见图2。</w:t>
      </w:r>
    </w:p>
    <w:p>
      <w:pPr>
        <w:pStyle w:val="20"/>
        <w:spacing w:line="360" w:lineRule="auto"/>
        <w:rPr>
          <w:rFonts w:ascii="Times New Roman" w:hAnsi="Times New Roman"/>
          <w:sz w:val="24"/>
        </w:rPr>
      </w:pPr>
      <w:r>
        <w:rPr>
          <w:rFonts w:ascii="Times New Roman" w:hAnsi="Times New Roman"/>
          <w:sz w:val="24"/>
        </w:rPr>
        <mc:AlternateContent>
          <mc:Choice Requires="wps">
            <w:drawing>
              <wp:anchor distT="0" distB="0" distL="114300" distR="114300" simplePos="0" relativeHeight="251659264" behindDoc="0" locked="0" layoutInCell="1" allowOverlap="1">
                <wp:simplePos x="0" y="0"/>
                <wp:positionH relativeFrom="column">
                  <wp:posOffset>3248025</wp:posOffset>
                </wp:positionH>
                <wp:positionV relativeFrom="paragraph">
                  <wp:posOffset>584835</wp:posOffset>
                </wp:positionV>
                <wp:extent cx="1559560" cy="371475"/>
                <wp:effectExtent l="285750" t="285750" r="2540" b="9525"/>
                <wp:wrapNone/>
                <wp:docPr id="7" name="对话气泡: 矩形 7"/>
                <wp:cNvGraphicFramePr/>
                <a:graphic xmlns:a="http://schemas.openxmlformats.org/drawingml/2006/main">
                  <a:graphicData uri="http://schemas.microsoft.com/office/word/2010/wordprocessingShape">
                    <wps:wsp>
                      <wps:cNvSpPr>
                        <a:spLocks noChangeArrowheads="1"/>
                      </wps:cNvSpPr>
                      <wps:spPr bwMode="auto">
                        <a:xfrm>
                          <a:off x="0" y="0"/>
                          <a:ext cx="1559560" cy="371475"/>
                        </a:xfrm>
                        <a:prstGeom prst="wedgeRectCallout">
                          <a:avLst>
                            <a:gd name="adj1" fmla="val -68043"/>
                            <a:gd name="adj2" fmla="val -124476"/>
                          </a:avLst>
                        </a:prstGeom>
                        <a:gradFill rotWithShape="1">
                          <a:gsLst>
                            <a:gs pos="0">
                              <a:srgbClr val="FFFF00"/>
                            </a:gs>
                            <a:gs pos="100000">
                              <a:srgbClr val="FFFF00">
                                <a:gamma/>
                                <a:shade val="46275"/>
                                <a:invGamma/>
                              </a:srgbClr>
                            </a:gs>
                          </a:gsLst>
                          <a:lin ang="5400000" scaled="1"/>
                        </a:gradFill>
                        <a:ln>
                          <a:noFill/>
                        </a:ln>
                      </wps:spPr>
                      <wps:txbx>
                        <w:txbxContent>
                          <w:p>
                            <w:pPr>
                              <w:ind w:firstLine="560"/>
                              <w:rPr>
                                <w:rFonts w:ascii="黑体" w:hAnsi="黑体" w:eastAsia="黑体"/>
                              </w:rPr>
                            </w:pPr>
                            <w:r>
                              <w:rPr>
                                <w:rFonts w:hint="eastAsia" w:ascii="黑体" w:hAnsi="黑体" w:eastAsia="黑体"/>
                              </w:rPr>
                              <w:t>哈拉沁水库</w:t>
                            </w:r>
                          </w:p>
                        </w:txbxContent>
                      </wps:txbx>
                      <wps:bodyPr rot="0" vert="horz" wrap="square" lIns="91440" tIns="45720" rIns="91440" bIns="45720" anchor="t" anchorCtr="0" upright="1">
                        <a:noAutofit/>
                      </wps:bodyPr>
                    </wps:wsp>
                  </a:graphicData>
                </a:graphic>
              </wp:anchor>
            </w:drawing>
          </mc:Choice>
          <mc:Fallback>
            <w:pict>
              <v:shape id="对话气泡: 矩形 7" o:spid="_x0000_s1026" o:spt="61" type="#_x0000_t61" style="position:absolute;left:0pt;margin-left:255.75pt;margin-top:46.05pt;height:29.25pt;width:122.8pt;z-index:251659264;mso-width-relative:page;mso-height-relative:page;" fillcolor="#FFFF00" filled="t" stroked="f" coordsize="21600,21600" o:gfxdata="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lojsv1wAAAAoBAAAPAAAAAAAA&#10;AAEAIAAAACIAAABkcnMvZG93bnJldi54bWxQSwECFAAUAAAACACHTuJAdtmlKb4CAABiBQAADgAA&#10;AAAAAAABACAAAAAmAQAAZHJzL2Uyb0RvYy54bWxQSwUGAAAAAAYABgBZAQAAVgYAAAAA&#10;" adj="-3897,-16087">
                <v:fill type="gradient" on="t" color2="#767600" focus="100%" focussize="0,0" rotate="t"/>
                <v:stroke on="f"/>
                <v:imagedata o:title=""/>
                <o:lock v:ext="edit" aspectratio="f"/>
                <v:textbox>
                  <w:txbxContent>
                    <w:p>
                      <w:pPr>
                        <w:ind w:firstLine="560"/>
                        <w:rPr>
                          <w:rFonts w:ascii="黑体" w:hAnsi="黑体" w:eastAsia="黑体"/>
                        </w:rPr>
                      </w:pPr>
                      <w:r>
                        <w:rPr>
                          <w:rFonts w:hint="eastAsia" w:ascii="黑体" w:hAnsi="黑体" w:eastAsia="黑体"/>
                        </w:rPr>
                        <w:t>哈拉沁水库</w:t>
                      </w:r>
                    </w:p>
                  </w:txbxContent>
                </v:textbox>
              </v:shape>
            </w:pict>
          </mc:Fallback>
        </mc:AlternateContent>
      </w:r>
      <w:r>
        <w:rPr>
          <w:rFonts w:ascii="Times New Roman" w:hAnsi="Times New Roman"/>
          <w:sz w:val="24"/>
        </w:rPr>
        <w:drawing>
          <wp:inline distT="0" distB="0" distL="0" distR="0">
            <wp:extent cx="5274310" cy="3408045"/>
            <wp:effectExtent l="0" t="0" r="2540" b="1905"/>
            <wp:docPr id="6"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图&#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6195" cy="3409437"/>
                    </a:xfrm>
                    <a:prstGeom prst="rect">
                      <a:avLst/>
                    </a:prstGeom>
                    <a:noFill/>
                    <a:ln>
                      <a:noFill/>
                    </a:ln>
                  </pic:spPr>
                </pic:pic>
              </a:graphicData>
            </a:graphic>
          </wp:inline>
        </w:drawing>
      </w:r>
    </w:p>
    <w:p>
      <w:pPr>
        <w:pStyle w:val="20"/>
        <w:spacing w:line="336" w:lineRule="auto"/>
        <w:ind w:firstLine="420" w:firstLineChars="200"/>
        <w:jc w:val="center"/>
        <w:rPr>
          <w:rFonts w:ascii="Times New Roman" w:hAnsi="Times New Roman"/>
          <w:sz w:val="24"/>
        </w:rPr>
      </w:pPr>
      <w:r>
        <w:rPr>
          <w:rFonts w:ascii="Times New Roman" w:hAnsi="Times New Roman" w:eastAsia="黑体"/>
          <w:szCs w:val="21"/>
        </w:rPr>
        <w:t>图1 哈拉沁水库地理位置图</w:t>
      </w:r>
    </w:p>
    <w:p>
      <w:pPr>
        <w:pStyle w:val="20"/>
        <w:spacing w:line="336" w:lineRule="auto"/>
        <w:ind w:firstLine="480"/>
        <w:jc w:val="center"/>
        <w:rPr>
          <w:rFonts w:ascii="Times New Roman" w:hAnsi="Times New Roman"/>
          <w:sz w:val="24"/>
        </w:rPr>
      </w:pPr>
      <w:r>
        <w:rPr>
          <w:rFonts w:ascii="Times New Roman" w:hAnsi="Times New Roman"/>
          <w:sz w:val="24"/>
        </w:rPr>
        <w:drawing>
          <wp:inline distT="0" distB="0" distL="0" distR="0">
            <wp:extent cx="4405630" cy="4203700"/>
            <wp:effectExtent l="0" t="0" r="0" b="6350"/>
            <wp:docPr id="8" name="图片 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406440" cy="4204638"/>
                    </a:xfrm>
                    <a:prstGeom prst="rect">
                      <a:avLst/>
                    </a:prstGeom>
                    <a:noFill/>
                    <a:ln>
                      <a:noFill/>
                    </a:ln>
                  </pic:spPr>
                </pic:pic>
              </a:graphicData>
            </a:graphic>
          </wp:inline>
        </w:drawing>
      </w:r>
    </w:p>
    <w:p>
      <w:pPr>
        <w:pStyle w:val="20"/>
        <w:spacing w:line="336" w:lineRule="auto"/>
        <w:ind w:firstLine="420" w:firstLineChars="200"/>
        <w:jc w:val="center"/>
        <w:rPr>
          <w:rFonts w:ascii="Times New Roman" w:hAnsi="Times New Roman"/>
          <w:sz w:val="24"/>
        </w:rPr>
      </w:pPr>
      <w:r>
        <w:rPr>
          <w:rFonts w:ascii="Times New Roman" w:hAnsi="Times New Roman" w:eastAsia="黑体"/>
          <w:szCs w:val="21"/>
        </w:rPr>
        <w:t>图2 哈拉沁水库坝址处流域分布图</w:t>
      </w:r>
    </w:p>
    <w:p>
      <w:pPr>
        <w:pStyle w:val="20"/>
        <w:spacing w:line="360" w:lineRule="auto"/>
        <w:ind w:firstLine="480" w:firstLineChars="200"/>
        <w:rPr>
          <w:rFonts w:ascii="Times New Roman" w:hAnsi="Times New Roman"/>
          <w:sz w:val="24"/>
        </w:rPr>
      </w:pPr>
      <w:r>
        <w:rPr>
          <w:rFonts w:ascii="Times New Roman" w:hAnsi="Times New Roman"/>
          <w:sz w:val="24"/>
        </w:rPr>
        <w:t>哈拉沁水库坝址下游14.2km设有哈拉沁水文站，哈拉沁水文站于1956年6月由内蒙古水利厅设立为基本站，1967年1月1日上迁230m至现在站址，改为哈拉沁（二）站，1971年1月1日由内蒙古自治区呼和浩特市郊区水电局管理，1983年后归自治区水文局管理。观测项目有水位、流量、泥沙、冰情、降水等。2000年之后，由于哈拉沁水库的建设施工及下游蓄能电站的建设，哈拉沁（二）水文站所测的径流资料已经转变为调蓄后的河道流量，已不能代表上游的天然来水量。哈拉沁水库水系见图3。</w:t>
      </w:r>
    </w:p>
    <w:p>
      <w:pPr>
        <w:pStyle w:val="172"/>
        <w:ind w:firstLine="0" w:firstLineChars="0"/>
        <w:jc w:val="center"/>
        <w:rPr>
          <w:rFonts w:ascii="Times New Roman" w:hAnsi="Times New Roman"/>
          <w:sz w:val="24"/>
          <w:szCs w:val="24"/>
        </w:rPr>
      </w:pPr>
      <w:r>
        <w:rPr>
          <w:rFonts w:ascii="Times New Roman" w:hAnsi="Times New Roman"/>
        </w:rPr>
        <w:drawing>
          <wp:inline distT="0" distB="0" distL="0" distR="0">
            <wp:extent cx="5274310" cy="5467350"/>
            <wp:effectExtent l="19050" t="19050" r="21590" b="19050"/>
            <wp:docPr id="10" name="图片 10" descr="哈拉沁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哈拉沁水系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5467350"/>
                    </a:xfrm>
                    <a:prstGeom prst="rect">
                      <a:avLst/>
                    </a:prstGeom>
                    <a:noFill/>
                    <a:ln w="19050" cmpd="sng">
                      <a:solidFill>
                        <a:srgbClr val="000000"/>
                      </a:solidFill>
                      <a:miter lim="800000"/>
                      <a:headEnd/>
                      <a:tailEnd/>
                    </a:ln>
                    <a:effectLst/>
                  </pic:spPr>
                </pic:pic>
              </a:graphicData>
            </a:graphic>
          </wp:inline>
        </w:drawing>
      </w:r>
    </w:p>
    <w:p>
      <w:pPr>
        <w:pStyle w:val="20"/>
        <w:spacing w:line="336" w:lineRule="auto"/>
        <w:ind w:firstLine="420" w:firstLineChars="200"/>
        <w:jc w:val="center"/>
        <w:rPr>
          <w:rFonts w:ascii="Times New Roman" w:hAnsi="Times New Roman" w:eastAsia="黑体"/>
          <w:szCs w:val="21"/>
        </w:rPr>
      </w:pPr>
      <w:r>
        <w:rPr>
          <w:rFonts w:ascii="Times New Roman" w:hAnsi="Times New Roman" w:eastAsia="黑体"/>
          <w:szCs w:val="21"/>
        </w:rPr>
        <w:t>图3 哈拉沁水库水系图</w:t>
      </w:r>
    </w:p>
    <w:p>
      <w:pPr>
        <w:pStyle w:val="20"/>
        <w:spacing w:line="360" w:lineRule="auto"/>
        <w:ind w:firstLine="480" w:firstLineChars="200"/>
        <w:rPr>
          <w:rFonts w:ascii="Times New Roman" w:hAnsi="Times New Roman"/>
          <w:sz w:val="24"/>
        </w:rPr>
      </w:pPr>
    </w:p>
    <w:p>
      <w:pPr>
        <w:pStyle w:val="20"/>
        <w:spacing w:line="360" w:lineRule="auto"/>
        <w:ind w:firstLine="480" w:firstLineChars="200"/>
        <w:rPr>
          <w:rFonts w:ascii="Times New Roman" w:hAnsi="Times New Roman"/>
          <w:sz w:val="24"/>
        </w:rPr>
      </w:pPr>
      <w:r>
        <w:rPr>
          <w:rFonts w:ascii="Times New Roman" w:hAnsi="Times New Roman"/>
          <w:sz w:val="24"/>
        </w:rPr>
        <w:t>为了及时掌握入库洪水情况，呼和浩特市哈拉沁水库管理有限责任公司于2017年在水库上游建设了简易流量水位检测站，雇佣当地农民对入库流量和水位进行观测。</w:t>
      </w:r>
    </w:p>
    <w:p>
      <w:pPr>
        <w:keepNext/>
        <w:keepLines/>
        <w:widowControl/>
        <w:spacing w:before="156" w:beforeLines="50" w:after="156" w:afterLines="50"/>
        <w:ind w:firstLine="0" w:firstLineChars="0"/>
        <w:outlineLvl w:val="2"/>
        <w:rPr>
          <w:rFonts w:cs="Times New Roman"/>
          <w:b/>
          <w:bCs/>
          <w:kern w:val="0"/>
        </w:rPr>
      </w:pPr>
      <w:bookmarkStart w:id="5" w:name="_Toc51411332"/>
      <w:bookmarkStart w:id="6" w:name="_Toc60218848"/>
      <w:r>
        <w:rPr>
          <w:rFonts w:cs="Times New Roman"/>
          <w:b/>
          <w:bCs/>
          <w:kern w:val="0"/>
        </w:rPr>
        <w:t>1</w:t>
      </w:r>
      <w:r>
        <w:rPr>
          <w:rFonts w:hint="eastAsia" w:cs="Times New Roman"/>
          <w:b/>
          <w:bCs/>
          <w:kern w:val="0"/>
        </w:rPr>
        <w:t>.</w:t>
      </w:r>
      <w:r>
        <w:rPr>
          <w:rFonts w:cs="Times New Roman"/>
          <w:b/>
          <w:bCs/>
          <w:kern w:val="0"/>
        </w:rPr>
        <w:t>1</w:t>
      </w:r>
      <w:r>
        <w:rPr>
          <w:rFonts w:hint="eastAsia" w:cs="Times New Roman"/>
          <w:b/>
          <w:bCs/>
          <w:kern w:val="0"/>
        </w:rPr>
        <w:t>.</w:t>
      </w:r>
      <w:r>
        <w:rPr>
          <w:rFonts w:cs="Times New Roman"/>
          <w:b/>
          <w:bCs/>
          <w:kern w:val="0"/>
        </w:rPr>
        <w:t>2</w:t>
      </w:r>
      <w:r>
        <w:rPr>
          <w:rFonts w:hint="eastAsia" w:cs="Times New Roman"/>
          <w:b/>
          <w:bCs/>
          <w:kern w:val="0"/>
        </w:rPr>
        <w:t xml:space="preserve"> 水库概况</w:t>
      </w:r>
      <w:bookmarkEnd w:id="5"/>
      <w:bookmarkEnd w:id="6"/>
    </w:p>
    <w:p>
      <w:pPr>
        <w:snapToGrid w:val="0"/>
        <w:ind w:firstLine="560"/>
        <w:rPr>
          <w:szCs w:val="20"/>
        </w:rPr>
      </w:pPr>
      <w:r>
        <w:rPr>
          <w:rFonts w:hint="eastAsia"/>
        </w:rPr>
        <w:t>哈拉沁水库</w:t>
      </w:r>
      <w:r>
        <w:rPr>
          <w:szCs w:val="20"/>
        </w:rPr>
        <w:t>工程主要由大坝、泄洪洞、放水洞三部分组成。哈拉沁水库的工程等别为Ⅱ等，洪水标准为500年一遇洪水设计，2000年一遇洪水校核。哈拉沁水库设计入库洪峰流量为2693 m</w:t>
      </w:r>
      <w:r>
        <w:rPr>
          <w:szCs w:val="20"/>
          <w:vertAlign w:val="superscript"/>
        </w:rPr>
        <w:t>3</w:t>
      </w:r>
      <w:r>
        <w:rPr>
          <w:szCs w:val="20"/>
        </w:rPr>
        <w:t>/s（P=0.2%），设计洪水位为1450.91m，相应的最大泄洪流量为402 m</w:t>
      </w:r>
      <w:r>
        <w:rPr>
          <w:szCs w:val="20"/>
          <w:vertAlign w:val="superscript"/>
        </w:rPr>
        <w:t>3</w:t>
      </w:r>
      <w:r>
        <w:rPr>
          <w:szCs w:val="20"/>
        </w:rPr>
        <w:t>/s，校核入库洪峰流量为3467 m</w:t>
      </w:r>
      <w:r>
        <w:rPr>
          <w:szCs w:val="20"/>
          <w:vertAlign w:val="superscript"/>
        </w:rPr>
        <w:t>3</w:t>
      </w:r>
      <w:r>
        <w:rPr>
          <w:szCs w:val="20"/>
        </w:rPr>
        <w:t>/s（P=0.05%），校核洪水位为1450.91m，相应的最大泄洪流量为412m</w:t>
      </w:r>
      <w:r>
        <w:rPr>
          <w:szCs w:val="20"/>
          <w:vertAlign w:val="superscript"/>
        </w:rPr>
        <w:t>3</w:t>
      </w:r>
      <w:r>
        <w:rPr>
          <w:szCs w:val="20"/>
        </w:rPr>
        <w:t>/s。</w:t>
      </w:r>
    </w:p>
    <w:p>
      <w:pPr>
        <w:snapToGrid w:val="0"/>
        <w:ind w:firstLine="560"/>
        <w:rPr>
          <w:szCs w:val="20"/>
        </w:rPr>
      </w:pPr>
      <w:r>
        <w:rPr>
          <w:szCs w:val="20"/>
        </w:rPr>
        <w:t>大坝高46.8m，坝顶宽10m，长252m，河谷宽120m，坝顶高程1453.8m，总库容0.673亿m</w:t>
      </w:r>
      <w:r>
        <w:rPr>
          <w:szCs w:val="20"/>
          <w:vertAlign w:val="superscript"/>
        </w:rPr>
        <w:t>3</w:t>
      </w:r>
      <w:r>
        <w:rPr>
          <w:szCs w:val="20"/>
        </w:rPr>
        <w:t>。水库运行方式为多年调节，前50年采用“蓄洪运用”，预留了2095万m</w:t>
      </w:r>
      <w:r>
        <w:rPr>
          <w:szCs w:val="20"/>
          <w:vertAlign w:val="superscript"/>
        </w:rPr>
        <w:t>3</w:t>
      </w:r>
      <w:r>
        <w:rPr>
          <w:szCs w:val="20"/>
        </w:rPr>
        <w:t>的淤沙库容，50年后改为“蓄清排洪”运用。</w:t>
      </w:r>
    </w:p>
    <w:p>
      <w:pPr>
        <w:ind w:firstLine="560"/>
      </w:pPr>
      <w:r>
        <w:t>泄洪洞和放水洞均为钢筋混凝土箱涵结构。泄洪洞布设在大坝右岸山体内，进口底高程1412.00m，包括引渠段、前部压力洞段、闸室段（包括竖井）、无压明流段及挑流消能段，设计泄洪能力为367m</w:t>
      </w:r>
      <w:r>
        <w:rPr>
          <w:vertAlign w:val="superscript"/>
        </w:rPr>
        <w:t>3</w:t>
      </w:r>
      <w:r>
        <w:t>/s，放水涵洞布置在左岸开挖的山坡上，采用现浇钢筋混凝土压力圆涵，进口底高程1425.00m，包括进口段、闸室段（包括启闭塔）、洞身段、出口闸室段及出口挑流消能段，设计放水能力为45m</w:t>
      </w:r>
      <w:r>
        <w:rPr>
          <w:vertAlign w:val="superscript"/>
        </w:rPr>
        <w:t>3</w:t>
      </w:r>
      <w:r>
        <w:t>/s。详见表1。</w:t>
      </w:r>
    </w:p>
    <w:p>
      <w:pPr>
        <w:ind w:firstLine="560"/>
      </w:pPr>
    </w:p>
    <w:p>
      <w:pPr>
        <w:ind w:firstLine="560"/>
      </w:pPr>
    </w:p>
    <w:p>
      <w:pPr>
        <w:ind w:firstLine="560"/>
      </w:pPr>
    </w:p>
    <w:p>
      <w:pPr>
        <w:ind w:firstLine="560"/>
      </w:pPr>
    </w:p>
    <w:p>
      <w:pPr>
        <w:ind w:firstLine="560"/>
      </w:pPr>
    </w:p>
    <w:p>
      <w:pPr>
        <w:snapToGrid w:val="0"/>
        <w:spacing w:line="336" w:lineRule="auto"/>
        <w:ind w:firstLine="420"/>
        <w:jc w:val="center"/>
        <w:rPr>
          <w:rFonts w:eastAsia="黑体" w:cs="Times New Roman"/>
          <w:sz w:val="21"/>
          <w:szCs w:val="21"/>
        </w:rPr>
      </w:pPr>
      <w:r>
        <w:rPr>
          <w:rFonts w:eastAsia="黑体" w:cs="Times New Roman"/>
          <w:sz w:val="21"/>
          <w:szCs w:val="21"/>
        </w:rPr>
        <w:t>表1 哈拉沁水库工程技术特征表</w:t>
      </w:r>
    </w:p>
    <w:tbl>
      <w:tblPr>
        <w:tblStyle w:val="36"/>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656"/>
        <w:gridCol w:w="1100"/>
        <w:gridCol w:w="630"/>
        <w:gridCol w:w="1536"/>
        <w:gridCol w:w="628"/>
        <w:gridCol w:w="502"/>
        <w:gridCol w:w="2040"/>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47"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水库名称</w:t>
            </w:r>
          </w:p>
        </w:tc>
        <w:tc>
          <w:tcPr>
            <w:tcW w:w="3266" w:type="dxa"/>
            <w:gridSpan w:val="3"/>
            <w:vAlign w:val="center"/>
          </w:tcPr>
          <w:p>
            <w:pPr>
              <w:widowControl/>
              <w:spacing w:line="240" w:lineRule="auto"/>
              <w:ind w:firstLine="0" w:firstLineChars="0"/>
              <w:jc w:val="left"/>
              <w:rPr>
                <w:rFonts w:cs="Times New Roman"/>
                <w:sz w:val="22"/>
                <w:szCs w:val="21"/>
              </w:rPr>
            </w:pPr>
            <w:r>
              <w:rPr>
                <w:rFonts w:cs="Times New Roman"/>
                <w:sz w:val="22"/>
                <w:szCs w:val="21"/>
              </w:rPr>
              <w:t>哈拉沁水库</w:t>
            </w:r>
          </w:p>
        </w:tc>
        <w:tc>
          <w:tcPr>
            <w:tcW w:w="628"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主坝</w:t>
            </w:r>
          </w:p>
        </w:tc>
        <w:tc>
          <w:tcPr>
            <w:tcW w:w="2542"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坝型</w:t>
            </w:r>
          </w:p>
        </w:tc>
        <w:tc>
          <w:tcPr>
            <w:tcW w:w="1501" w:type="dxa"/>
          </w:tcPr>
          <w:p>
            <w:pPr>
              <w:widowControl/>
              <w:spacing w:line="240" w:lineRule="auto"/>
              <w:ind w:firstLine="0" w:firstLineChars="0"/>
              <w:jc w:val="left"/>
              <w:rPr>
                <w:rFonts w:cs="Times New Roman"/>
                <w:sz w:val="22"/>
                <w:szCs w:val="21"/>
              </w:rPr>
            </w:pPr>
            <w:r>
              <w:rPr>
                <w:rFonts w:cs="Times New Roman"/>
                <w:sz w:val="22"/>
                <w:szCs w:val="21"/>
              </w:rPr>
              <w:t>壤土斜心墙砂砾石坝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1" w:hRule="atLeast"/>
          <w:jc w:val="center"/>
        </w:trPr>
        <w:tc>
          <w:tcPr>
            <w:tcW w:w="1247"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建设地点</w:t>
            </w:r>
          </w:p>
        </w:tc>
        <w:tc>
          <w:tcPr>
            <w:tcW w:w="3266" w:type="dxa"/>
            <w:gridSpan w:val="3"/>
            <w:vAlign w:val="center"/>
          </w:tcPr>
          <w:p>
            <w:pPr>
              <w:widowControl/>
              <w:spacing w:line="240" w:lineRule="auto"/>
              <w:ind w:firstLine="0" w:firstLineChars="0"/>
              <w:jc w:val="left"/>
              <w:rPr>
                <w:rFonts w:cs="Times New Roman"/>
                <w:sz w:val="22"/>
                <w:szCs w:val="21"/>
              </w:rPr>
            </w:pPr>
            <w:r>
              <w:rPr>
                <w:rFonts w:cs="Times New Roman"/>
                <w:sz w:val="22"/>
                <w:szCs w:val="21"/>
              </w:rPr>
              <w:t>呼和浩特城区北部约25km的哈拉沁沟中，武川县境内。</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坝顶高程（m）</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1453.8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247" w:type="dxa"/>
            <w:gridSpan w:val="2"/>
          </w:tcPr>
          <w:p>
            <w:pPr>
              <w:widowControl/>
              <w:spacing w:line="240" w:lineRule="auto"/>
              <w:ind w:firstLine="0" w:firstLineChars="0"/>
              <w:jc w:val="left"/>
              <w:rPr>
                <w:rFonts w:cs="Times New Roman"/>
                <w:sz w:val="22"/>
                <w:szCs w:val="21"/>
              </w:rPr>
            </w:pPr>
            <w:r>
              <w:rPr>
                <w:rFonts w:cs="Times New Roman"/>
                <w:sz w:val="22"/>
                <w:szCs w:val="21"/>
              </w:rPr>
              <w:t>所在河流</w:t>
            </w:r>
          </w:p>
        </w:tc>
        <w:tc>
          <w:tcPr>
            <w:tcW w:w="3266" w:type="dxa"/>
            <w:gridSpan w:val="3"/>
          </w:tcPr>
          <w:p>
            <w:pPr>
              <w:widowControl/>
              <w:spacing w:line="240" w:lineRule="auto"/>
              <w:ind w:firstLine="0" w:firstLineChars="0"/>
              <w:jc w:val="left"/>
              <w:rPr>
                <w:rFonts w:cs="Times New Roman"/>
                <w:sz w:val="22"/>
                <w:szCs w:val="21"/>
              </w:rPr>
            </w:pPr>
            <w:r>
              <w:rPr>
                <w:rFonts w:cs="Times New Roman"/>
                <w:sz w:val="22"/>
                <w:szCs w:val="21"/>
              </w:rPr>
              <w:t>小黑河流域</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最大坝高（m）</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347" w:type="dxa"/>
            <w:gridSpan w:val="3"/>
          </w:tcPr>
          <w:p>
            <w:pPr>
              <w:widowControl/>
              <w:spacing w:line="240" w:lineRule="auto"/>
              <w:ind w:firstLine="0" w:firstLineChars="0"/>
              <w:jc w:val="left"/>
              <w:rPr>
                <w:rFonts w:cs="Times New Roman"/>
                <w:sz w:val="22"/>
                <w:szCs w:val="21"/>
              </w:rPr>
            </w:pPr>
            <w:r>
              <w:rPr>
                <w:rFonts w:cs="Times New Roman"/>
                <w:sz w:val="22"/>
                <w:szCs w:val="21"/>
              </w:rPr>
              <w:t>流域面积（km</w:t>
            </w:r>
            <w:r>
              <w:rPr>
                <w:rFonts w:cs="Times New Roman"/>
                <w:sz w:val="22"/>
                <w:szCs w:val="21"/>
                <w:vertAlign w:val="superscript"/>
              </w:rPr>
              <w:t>2</w:t>
            </w:r>
            <w:r>
              <w:rPr>
                <w:rFonts w:cs="Times New Roman"/>
                <w:sz w:val="22"/>
                <w:szCs w:val="21"/>
              </w:rPr>
              <w:t>）</w:t>
            </w:r>
          </w:p>
        </w:tc>
        <w:tc>
          <w:tcPr>
            <w:tcW w:w="2166" w:type="dxa"/>
            <w:gridSpan w:val="2"/>
          </w:tcPr>
          <w:p>
            <w:pPr>
              <w:widowControl/>
              <w:spacing w:line="240" w:lineRule="auto"/>
              <w:ind w:firstLine="0" w:firstLineChars="0"/>
              <w:jc w:val="center"/>
              <w:rPr>
                <w:rFonts w:cs="Times New Roman"/>
                <w:sz w:val="22"/>
                <w:szCs w:val="21"/>
              </w:rPr>
            </w:pPr>
            <w:r>
              <w:rPr>
                <w:rFonts w:cs="Times New Roman"/>
                <w:sz w:val="22"/>
                <w:szCs w:val="21"/>
              </w:rPr>
              <w:t>625</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坝顶长度（m）</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347" w:type="dxa"/>
            <w:gridSpan w:val="3"/>
            <w:vAlign w:val="center"/>
          </w:tcPr>
          <w:p>
            <w:pPr>
              <w:widowControl/>
              <w:spacing w:line="240" w:lineRule="auto"/>
              <w:ind w:firstLine="0" w:firstLineChars="0"/>
              <w:jc w:val="left"/>
              <w:rPr>
                <w:rFonts w:cs="Times New Roman"/>
                <w:sz w:val="22"/>
                <w:szCs w:val="21"/>
              </w:rPr>
            </w:pPr>
            <w:r>
              <w:rPr>
                <w:rFonts w:cs="Times New Roman"/>
                <w:sz w:val="22"/>
                <w:szCs w:val="21"/>
              </w:rPr>
              <w:t>管理单位名称</w:t>
            </w:r>
          </w:p>
        </w:tc>
        <w:tc>
          <w:tcPr>
            <w:tcW w:w="2166" w:type="dxa"/>
            <w:gridSpan w:val="2"/>
            <w:vAlign w:val="center"/>
          </w:tcPr>
          <w:p>
            <w:pPr>
              <w:widowControl/>
              <w:spacing w:line="240" w:lineRule="auto"/>
              <w:ind w:firstLine="0" w:firstLineChars="0"/>
              <w:jc w:val="center"/>
              <w:rPr>
                <w:rFonts w:cs="Times New Roman"/>
                <w:sz w:val="22"/>
                <w:szCs w:val="21"/>
              </w:rPr>
            </w:pPr>
            <w:r>
              <w:rPr>
                <w:rFonts w:cs="Times New Roman"/>
                <w:sz w:val="22"/>
                <w:szCs w:val="21"/>
              </w:rPr>
              <w:t>哈拉沁水库管理有限责任公司</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坝顶宽度（m）</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7" w:type="dxa"/>
            <w:gridSpan w:val="3"/>
            <w:vAlign w:val="center"/>
          </w:tcPr>
          <w:p>
            <w:pPr>
              <w:widowControl/>
              <w:spacing w:line="240" w:lineRule="auto"/>
              <w:ind w:firstLine="0" w:firstLineChars="0"/>
              <w:jc w:val="left"/>
              <w:rPr>
                <w:rFonts w:cs="Times New Roman"/>
                <w:sz w:val="22"/>
                <w:szCs w:val="21"/>
              </w:rPr>
            </w:pPr>
            <w:r>
              <w:rPr>
                <w:rFonts w:cs="Times New Roman"/>
                <w:sz w:val="22"/>
                <w:szCs w:val="21"/>
              </w:rPr>
              <w:t>监管单位名称</w:t>
            </w:r>
          </w:p>
        </w:tc>
        <w:tc>
          <w:tcPr>
            <w:tcW w:w="2166" w:type="dxa"/>
            <w:gridSpan w:val="2"/>
            <w:vAlign w:val="center"/>
          </w:tcPr>
          <w:p>
            <w:pPr>
              <w:widowControl/>
              <w:spacing w:line="240" w:lineRule="auto"/>
              <w:ind w:firstLine="0" w:firstLineChars="0"/>
              <w:jc w:val="center"/>
              <w:rPr>
                <w:rFonts w:cs="Times New Roman"/>
                <w:sz w:val="22"/>
                <w:szCs w:val="21"/>
              </w:rPr>
            </w:pPr>
            <w:r>
              <w:rPr>
                <w:rFonts w:cs="Times New Roman"/>
                <w:sz w:val="22"/>
                <w:szCs w:val="21"/>
              </w:rPr>
              <w:t>呼和浩特市水务局</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坝基地质</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斜长角闪岩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347" w:type="dxa"/>
            <w:gridSpan w:val="3"/>
          </w:tcPr>
          <w:p>
            <w:pPr>
              <w:widowControl/>
              <w:spacing w:line="240" w:lineRule="auto"/>
              <w:ind w:firstLine="0" w:firstLineChars="0"/>
              <w:jc w:val="left"/>
              <w:rPr>
                <w:rFonts w:cs="Times New Roman"/>
                <w:sz w:val="22"/>
                <w:szCs w:val="21"/>
              </w:rPr>
            </w:pPr>
            <w:r>
              <w:rPr>
                <w:rFonts w:cs="Times New Roman"/>
                <w:sz w:val="22"/>
                <w:szCs w:val="21"/>
              </w:rPr>
              <w:t>竣工日期</w:t>
            </w:r>
          </w:p>
        </w:tc>
        <w:tc>
          <w:tcPr>
            <w:tcW w:w="2166" w:type="dxa"/>
            <w:gridSpan w:val="2"/>
          </w:tcPr>
          <w:p>
            <w:pPr>
              <w:widowControl/>
              <w:spacing w:line="240" w:lineRule="auto"/>
              <w:ind w:firstLine="0" w:firstLineChars="0"/>
              <w:jc w:val="center"/>
              <w:rPr>
                <w:rFonts w:cs="Times New Roman"/>
                <w:sz w:val="22"/>
                <w:szCs w:val="21"/>
              </w:rPr>
            </w:pPr>
            <w:r>
              <w:rPr>
                <w:rFonts w:cs="Times New Roman"/>
                <w:sz w:val="22"/>
                <w:szCs w:val="21"/>
              </w:rPr>
              <w:t>2011年9月</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坝基防渗措施</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黏土心墙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347" w:type="dxa"/>
            <w:gridSpan w:val="3"/>
          </w:tcPr>
          <w:p>
            <w:pPr>
              <w:widowControl/>
              <w:spacing w:line="240" w:lineRule="auto"/>
              <w:ind w:firstLine="0" w:firstLineChars="0"/>
              <w:jc w:val="left"/>
              <w:rPr>
                <w:rFonts w:cs="Times New Roman"/>
                <w:sz w:val="22"/>
                <w:szCs w:val="21"/>
              </w:rPr>
            </w:pPr>
            <w:r>
              <w:rPr>
                <w:rFonts w:cs="Times New Roman"/>
                <w:sz w:val="22"/>
                <w:szCs w:val="21"/>
              </w:rPr>
              <w:t>工程等别</w:t>
            </w:r>
          </w:p>
        </w:tc>
        <w:tc>
          <w:tcPr>
            <w:tcW w:w="2166" w:type="dxa"/>
            <w:gridSpan w:val="2"/>
          </w:tcPr>
          <w:p>
            <w:pPr>
              <w:widowControl/>
              <w:spacing w:line="240" w:lineRule="auto"/>
              <w:ind w:firstLine="0" w:firstLineChars="0"/>
              <w:jc w:val="center"/>
              <w:rPr>
                <w:rFonts w:cs="Times New Roman"/>
                <w:sz w:val="22"/>
                <w:szCs w:val="21"/>
              </w:rPr>
            </w:pPr>
            <w:r>
              <w:rPr>
                <w:rFonts w:cs="Times New Roman"/>
                <w:sz w:val="22"/>
                <w:szCs w:val="21"/>
              </w:rPr>
              <w:t>Ⅱ型</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防浪墙顶高程（m）</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1455.0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977" w:type="dxa"/>
            <w:gridSpan w:val="4"/>
          </w:tcPr>
          <w:p>
            <w:pPr>
              <w:widowControl/>
              <w:spacing w:line="240" w:lineRule="auto"/>
              <w:ind w:firstLine="0" w:firstLineChars="0"/>
              <w:jc w:val="left"/>
              <w:rPr>
                <w:rFonts w:cs="Times New Roman"/>
                <w:sz w:val="22"/>
                <w:szCs w:val="21"/>
              </w:rPr>
            </w:pPr>
            <w:r>
              <w:rPr>
                <w:rFonts w:cs="Times New Roman"/>
                <w:sz w:val="22"/>
                <w:szCs w:val="21"/>
              </w:rPr>
              <w:t>抗震设计烈度</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Ⅷ度</w:t>
            </w:r>
          </w:p>
        </w:tc>
        <w:tc>
          <w:tcPr>
            <w:tcW w:w="628"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副坝</w:t>
            </w: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坝型</w:t>
            </w:r>
          </w:p>
        </w:tc>
        <w:tc>
          <w:tcPr>
            <w:tcW w:w="1501"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977" w:type="dxa"/>
            <w:gridSpan w:val="4"/>
          </w:tcPr>
          <w:p>
            <w:pPr>
              <w:widowControl/>
              <w:spacing w:line="240" w:lineRule="auto"/>
              <w:ind w:firstLine="0" w:firstLineChars="0"/>
              <w:jc w:val="left"/>
              <w:rPr>
                <w:rFonts w:cs="Times New Roman"/>
                <w:sz w:val="22"/>
                <w:szCs w:val="21"/>
              </w:rPr>
            </w:pPr>
            <w:r>
              <w:rPr>
                <w:rFonts w:cs="Times New Roman"/>
                <w:sz w:val="22"/>
                <w:szCs w:val="21"/>
              </w:rPr>
              <w:t>多年平均降水量（mm）</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395.0</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坝顶高程（m）</w:t>
            </w:r>
          </w:p>
        </w:tc>
        <w:tc>
          <w:tcPr>
            <w:tcW w:w="1501" w:type="dxa"/>
            <w:vMerge w:val="continue"/>
            <w:vAlign w:val="center"/>
          </w:tcPr>
          <w:p>
            <w:pPr>
              <w:widowControl/>
              <w:spacing w:line="240" w:lineRule="auto"/>
              <w:ind w:firstLine="0" w:firstLineChars="0"/>
              <w:jc w:val="center"/>
              <w:rPr>
                <w:rFonts w:cs="Times New Roman"/>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设计</w:t>
            </w: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洪水标准（%）</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0.2</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坝顶长度（m）</w:t>
            </w:r>
          </w:p>
        </w:tc>
        <w:tc>
          <w:tcPr>
            <w:tcW w:w="1501" w:type="dxa"/>
            <w:vMerge w:val="continue"/>
            <w:vAlign w:val="center"/>
          </w:tcPr>
          <w:p>
            <w:pPr>
              <w:widowControl/>
              <w:spacing w:line="240" w:lineRule="auto"/>
              <w:ind w:firstLine="0" w:firstLineChars="0"/>
              <w:jc w:val="center"/>
              <w:rPr>
                <w:rFonts w:cs="Times New Roman"/>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洪峰流量（m</w:t>
            </w:r>
            <w:r>
              <w:rPr>
                <w:rFonts w:cs="Times New Roman"/>
                <w:sz w:val="22"/>
                <w:szCs w:val="21"/>
                <w:vertAlign w:val="superscript"/>
              </w:rPr>
              <w:t>3</w:t>
            </w:r>
            <w:r>
              <w:rPr>
                <w:rFonts w:cs="Times New Roman"/>
                <w:sz w:val="22"/>
                <w:szCs w:val="21"/>
              </w:rPr>
              <w:t>/s）</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2693</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坝顶宽度（m）</w:t>
            </w:r>
          </w:p>
        </w:tc>
        <w:tc>
          <w:tcPr>
            <w:tcW w:w="1501" w:type="dxa"/>
            <w:vMerge w:val="continue"/>
            <w:tcBorders>
              <w:bottom w:val="single" w:color="auto" w:sz="4" w:space="0"/>
            </w:tcBorders>
            <w:vAlign w:val="center"/>
          </w:tcPr>
          <w:p>
            <w:pPr>
              <w:widowControl/>
              <w:spacing w:line="240" w:lineRule="auto"/>
              <w:ind w:firstLine="0" w:firstLineChars="0"/>
              <w:jc w:val="center"/>
              <w:rPr>
                <w:rFonts w:cs="Times New Roman"/>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24小时洪量（m</w:t>
            </w:r>
            <w:r>
              <w:rPr>
                <w:rFonts w:cs="Times New Roman"/>
                <w:sz w:val="22"/>
                <w:szCs w:val="21"/>
                <w:vertAlign w:val="superscript"/>
              </w:rPr>
              <w:t>3</w:t>
            </w:r>
            <w:r>
              <w:rPr>
                <w:rFonts w:cs="Times New Roman"/>
                <w:sz w:val="22"/>
                <w:szCs w:val="21"/>
              </w:rPr>
              <w:t>）</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2920</w:t>
            </w:r>
          </w:p>
        </w:tc>
        <w:tc>
          <w:tcPr>
            <w:tcW w:w="628"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正常泄洪洞</w:t>
            </w: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型式</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城门洞型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校核</w:t>
            </w: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洪水标准（%）</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0.05</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洞底高程（m）</w:t>
            </w:r>
          </w:p>
        </w:tc>
        <w:tc>
          <w:tcPr>
            <w:tcW w:w="1501" w:type="dxa"/>
            <w:tcBorders>
              <w:top w:val="single" w:color="auto" w:sz="4" w:space="0"/>
            </w:tcBorders>
            <w:vAlign w:val="center"/>
          </w:tcPr>
          <w:p>
            <w:pPr>
              <w:widowControl/>
              <w:spacing w:line="240" w:lineRule="auto"/>
              <w:ind w:firstLine="0" w:firstLineChars="0"/>
              <w:jc w:val="center"/>
              <w:rPr>
                <w:rFonts w:cs="Times New Roman"/>
                <w:sz w:val="22"/>
                <w:szCs w:val="21"/>
              </w:rPr>
            </w:pPr>
            <w:r>
              <w:rPr>
                <w:rFonts w:cs="Times New Roman"/>
                <w:sz w:val="22"/>
                <w:szCs w:val="21"/>
              </w:rPr>
              <w:t>1412.0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洪峰流量（m</w:t>
            </w:r>
            <w:r>
              <w:rPr>
                <w:rFonts w:cs="Times New Roman"/>
                <w:sz w:val="22"/>
                <w:szCs w:val="21"/>
                <w:vertAlign w:val="superscript"/>
              </w:rPr>
              <w:t>3</w:t>
            </w:r>
            <w:r>
              <w:rPr>
                <w:rFonts w:cs="Times New Roman"/>
                <w:sz w:val="22"/>
                <w:szCs w:val="21"/>
              </w:rPr>
              <w:t>/s）</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3467</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进口方涵尺寸（m）</w:t>
            </w:r>
          </w:p>
        </w:tc>
        <w:tc>
          <w:tcPr>
            <w:tcW w:w="1501" w:type="dxa"/>
            <w:tcBorders>
              <w:top w:val="single" w:color="auto" w:sz="4" w:space="0"/>
            </w:tcBorders>
            <w:vAlign w:val="center"/>
          </w:tcPr>
          <w:p>
            <w:pPr>
              <w:widowControl/>
              <w:spacing w:line="240" w:lineRule="auto"/>
              <w:ind w:firstLine="0" w:firstLineChars="0"/>
              <w:jc w:val="center"/>
              <w:rPr>
                <w:rFonts w:cs="Times New Roman"/>
                <w:sz w:val="22"/>
                <w:szCs w:val="21"/>
              </w:rPr>
            </w:pPr>
            <w:r>
              <w:rPr>
                <w:rFonts w:cs="Times New Roman"/>
                <w:sz w:val="22"/>
                <w:szCs w:val="21"/>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24小时洪量（m</w:t>
            </w:r>
            <w:r>
              <w:rPr>
                <w:rFonts w:cs="Times New Roman"/>
                <w:sz w:val="22"/>
                <w:szCs w:val="21"/>
                <w:vertAlign w:val="superscript"/>
              </w:rPr>
              <w:t>3</w:t>
            </w:r>
            <w:r>
              <w:rPr>
                <w:rFonts w:cs="Times New Roman"/>
                <w:sz w:val="22"/>
                <w:szCs w:val="21"/>
              </w:rPr>
              <w:t>）</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3920</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闸门型式</w:t>
            </w:r>
          </w:p>
        </w:tc>
        <w:tc>
          <w:tcPr>
            <w:tcW w:w="1501" w:type="dxa"/>
            <w:tcBorders>
              <w:top w:val="single" w:color="auto" w:sz="4" w:space="0"/>
            </w:tcBorders>
            <w:vAlign w:val="center"/>
          </w:tcPr>
          <w:p>
            <w:pPr>
              <w:widowControl/>
              <w:spacing w:line="240" w:lineRule="auto"/>
              <w:ind w:firstLine="0" w:firstLineChars="0"/>
              <w:jc w:val="center"/>
              <w:rPr>
                <w:rFonts w:cs="Times New Roman"/>
                <w:sz w:val="22"/>
                <w:szCs w:val="21"/>
              </w:rPr>
            </w:pPr>
            <w:r>
              <w:rPr>
                <w:rFonts w:cs="Times New Roman"/>
                <w:sz w:val="22"/>
                <w:szCs w:val="21"/>
              </w:rPr>
              <w:t>弧形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91"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水库特性</w:t>
            </w: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水库调节特性</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多年调节</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洞身尺寸（m）</w:t>
            </w:r>
          </w:p>
        </w:tc>
        <w:tc>
          <w:tcPr>
            <w:tcW w:w="1501" w:type="dxa"/>
            <w:tcBorders>
              <w:top w:val="single" w:color="auto" w:sz="4" w:space="0"/>
            </w:tcBorders>
            <w:vAlign w:val="center"/>
          </w:tcPr>
          <w:p>
            <w:pPr>
              <w:widowControl/>
              <w:spacing w:line="240" w:lineRule="auto"/>
              <w:ind w:firstLine="0" w:firstLineChars="0"/>
              <w:jc w:val="center"/>
              <w:rPr>
                <w:rFonts w:cs="Times New Roman"/>
                <w:sz w:val="22"/>
                <w:szCs w:val="21"/>
              </w:rPr>
            </w:pPr>
            <w:r>
              <w:rPr>
                <w:rFonts w:cs="Times New Roman"/>
                <w:sz w:val="22"/>
                <w:szCs w:val="21"/>
              </w:rPr>
              <w:t>5.4×6.46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校核洪水位（m）</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1452.82</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设计/校核泄量（m</w:t>
            </w:r>
            <w:r>
              <w:rPr>
                <w:rFonts w:cs="Times New Roman"/>
                <w:sz w:val="22"/>
                <w:szCs w:val="21"/>
                <w:vertAlign w:val="superscript"/>
              </w:rPr>
              <w:t>3</w:t>
            </w:r>
            <w:r>
              <w:rPr>
                <w:rFonts w:cs="Times New Roman"/>
                <w:sz w:val="22"/>
                <w:szCs w:val="21"/>
              </w:rPr>
              <w:t>/s）</w:t>
            </w:r>
          </w:p>
        </w:tc>
        <w:tc>
          <w:tcPr>
            <w:tcW w:w="1501" w:type="dxa"/>
            <w:tcBorders>
              <w:top w:val="single" w:color="auto" w:sz="4" w:space="0"/>
            </w:tcBorders>
            <w:vAlign w:val="center"/>
          </w:tcPr>
          <w:p>
            <w:pPr>
              <w:widowControl/>
              <w:spacing w:line="240" w:lineRule="auto"/>
              <w:ind w:firstLine="0" w:firstLineChars="0"/>
              <w:jc w:val="center"/>
              <w:rPr>
                <w:rFonts w:cs="Times New Roman"/>
                <w:sz w:val="22"/>
                <w:szCs w:val="21"/>
              </w:rPr>
            </w:pPr>
            <w:r>
              <w:rPr>
                <w:rFonts w:cs="Times New Roman"/>
                <w:sz w:val="22"/>
                <w:szCs w:val="21"/>
              </w:rPr>
              <w:t>358/367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设计洪水位（m）</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1450.91</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消能型式</w:t>
            </w:r>
          </w:p>
        </w:tc>
        <w:tc>
          <w:tcPr>
            <w:tcW w:w="1501" w:type="dxa"/>
            <w:tcBorders>
              <w:top w:val="single" w:color="auto" w:sz="4" w:space="0"/>
            </w:tcBorders>
            <w:vAlign w:val="center"/>
          </w:tcPr>
          <w:p>
            <w:pPr>
              <w:widowControl/>
              <w:spacing w:line="240" w:lineRule="auto"/>
              <w:ind w:firstLine="0" w:firstLineChars="0"/>
              <w:jc w:val="center"/>
              <w:rPr>
                <w:rFonts w:cs="Times New Roman"/>
                <w:sz w:val="22"/>
                <w:szCs w:val="21"/>
              </w:rPr>
            </w:pPr>
            <w:r>
              <w:rPr>
                <w:rFonts w:cs="Times New Roman"/>
                <w:sz w:val="22"/>
                <w:szCs w:val="21"/>
              </w:rPr>
              <w:t>调流效能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防洪高水位（m）</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1448.00</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启闭设备</w:t>
            </w:r>
          </w:p>
        </w:tc>
        <w:tc>
          <w:tcPr>
            <w:tcW w:w="1501" w:type="dxa"/>
            <w:tcBorders>
              <w:top w:val="single" w:color="auto" w:sz="4" w:space="0"/>
            </w:tcBorders>
            <w:vAlign w:val="center"/>
          </w:tcPr>
          <w:p>
            <w:pPr>
              <w:widowControl/>
              <w:spacing w:line="240" w:lineRule="auto"/>
              <w:ind w:firstLine="0" w:firstLineChars="0"/>
              <w:jc w:val="center"/>
              <w:rPr>
                <w:rFonts w:cs="Times New Roman"/>
                <w:sz w:val="22"/>
                <w:szCs w:val="21"/>
              </w:rPr>
            </w:pPr>
            <w:r>
              <w:rPr>
                <w:rFonts w:cs="Times New Roman"/>
                <w:sz w:val="22"/>
                <w:szCs w:val="21"/>
              </w:rPr>
              <w:t>液压启闭机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正常蓄水位、防洪限制水位（m）</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1444.35</w:t>
            </w:r>
          </w:p>
        </w:tc>
        <w:tc>
          <w:tcPr>
            <w:tcW w:w="628"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放水洞</w:t>
            </w:r>
          </w:p>
        </w:tc>
        <w:tc>
          <w:tcPr>
            <w:tcW w:w="2542"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型式</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圆涵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死水位（m）</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1431.70</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洞底高程（m）</w:t>
            </w:r>
          </w:p>
        </w:tc>
        <w:tc>
          <w:tcPr>
            <w:tcW w:w="1501" w:type="dxa"/>
            <w:vAlign w:val="center"/>
          </w:tcPr>
          <w:p>
            <w:pPr>
              <w:spacing w:line="240" w:lineRule="auto"/>
              <w:ind w:firstLine="0" w:firstLineChars="0"/>
              <w:jc w:val="center"/>
              <w:rPr>
                <w:rFonts w:cs="Times New Roman"/>
                <w:sz w:val="22"/>
                <w:szCs w:val="21"/>
              </w:rPr>
            </w:pPr>
            <w:r>
              <w:rPr>
                <w:rFonts w:cs="Times New Roman"/>
                <w:sz w:val="22"/>
                <w:szCs w:val="21"/>
              </w:rPr>
              <w:t>1425.00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总库容（万m</w:t>
            </w:r>
            <w:r>
              <w:rPr>
                <w:rFonts w:cs="Times New Roman"/>
                <w:sz w:val="22"/>
                <w:szCs w:val="21"/>
                <w:vertAlign w:val="superscript"/>
              </w:rPr>
              <w:t>3</w:t>
            </w:r>
            <w:r>
              <w:rPr>
                <w:rFonts w:cs="Times New Roman"/>
                <w:sz w:val="22"/>
                <w:szCs w:val="21"/>
              </w:rPr>
              <w:t>）</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6730</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进口方涵尺寸（m）</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调洪库容（万m</w:t>
            </w:r>
            <w:r>
              <w:rPr>
                <w:rFonts w:cs="Times New Roman"/>
                <w:sz w:val="22"/>
                <w:szCs w:val="21"/>
                <w:vertAlign w:val="superscript"/>
              </w:rPr>
              <w:t>3</w:t>
            </w:r>
            <w:r>
              <w:rPr>
                <w:rFonts w:cs="Times New Roman"/>
                <w:sz w:val="22"/>
                <w:szCs w:val="21"/>
              </w:rPr>
              <w:t>）</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2523</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最大泄量（m</w:t>
            </w:r>
            <w:r>
              <w:rPr>
                <w:rFonts w:cs="Times New Roman"/>
                <w:sz w:val="22"/>
                <w:szCs w:val="21"/>
                <w:vertAlign w:val="superscript"/>
              </w:rPr>
              <w:t>3</w:t>
            </w:r>
            <w:r>
              <w:rPr>
                <w:rFonts w:cs="Times New Roman"/>
                <w:sz w:val="22"/>
                <w:szCs w:val="21"/>
              </w:rPr>
              <w:t>/s）</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兴利库容（万m</w:t>
            </w:r>
            <w:r>
              <w:rPr>
                <w:rFonts w:cs="Times New Roman"/>
                <w:sz w:val="22"/>
                <w:szCs w:val="21"/>
                <w:vertAlign w:val="superscript"/>
              </w:rPr>
              <w:t>3</w:t>
            </w:r>
            <w:r>
              <w:rPr>
                <w:rFonts w:cs="Times New Roman"/>
                <w:sz w:val="22"/>
                <w:szCs w:val="21"/>
              </w:rPr>
              <w:t>）</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1986</w:t>
            </w:r>
          </w:p>
        </w:tc>
        <w:tc>
          <w:tcPr>
            <w:tcW w:w="628" w:type="dxa"/>
            <w:vMerge w:val="continue"/>
            <w:vAlign w:val="center"/>
          </w:tcPr>
          <w:p>
            <w:pPr>
              <w:widowControl/>
              <w:spacing w:line="240" w:lineRule="auto"/>
              <w:ind w:firstLine="0" w:firstLineChars="0"/>
              <w:jc w:val="center"/>
              <w:rPr>
                <w:rFonts w:cs="Times New Roman"/>
                <w:sz w:val="22"/>
                <w:szCs w:val="21"/>
              </w:rPr>
            </w:pPr>
          </w:p>
        </w:tc>
        <w:tc>
          <w:tcPr>
            <w:tcW w:w="2542" w:type="dxa"/>
            <w:gridSpan w:val="2"/>
          </w:tcPr>
          <w:p>
            <w:pPr>
              <w:widowControl/>
              <w:spacing w:line="240" w:lineRule="auto"/>
              <w:ind w:firstLine="0" w:firstLineChars="0"/>
              <w:jc w:val="left"/>
              <w:rPr>
                <w:rFonts w:cs="Times New Roman"/>
                <w:sz w:val="22"/>
                <w:szCs w:val="21"/>
              </w:rPr>
            </w:pPr>
            <w:r>
              <w:rPr>
                <w:rFonts w:cs="Times New Roman"/>
                <w:sz w:val="22"/>
                <w:szCs w:val="21"/>
              </w:rPr>
              <w:t>消能型式</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调流效能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1" w:type="dxa"/>
            <w:vMerge w:val="continue"/>
            <w:vAlign w:val="center"/>
          </w:tcPr>
          <w:p>
            <w:pPr>
              <w:widowControl/>
              <w:spacing w:line="240" w:lineRule="auto"/>
              <w:ind w:firstLine="0" w:firstLineChars="0"/>
              <w:jc w:val="center"/>
              <w:rPr>
                <w:rFonts w:cs="Times New Roman"/>
                <w:sz w:val="22"/>
                <w:szCs w:val="21"/>
              </w:rPr>
            </w:pPr>
          </w:p>
        </w:tc>
        <w:tc>
          <w:tcPr>
            <w:tcW w:w="2386" w:type="dxa"/>
            <w:gridSpan w:val="3"/>
          </w:tcPr>
          <w:p>
            <w:pPr>
              <w:widowControl/>
              <w:spacing w:line="240" w:lineRule="auto"/>
              <w:ind w:firstLine="0" w:firstLineChars="0"/>
              <w:jc w:val="left"/>
              <w:rPr>
                <w:rFonts w:cs="Times New Roman"/>
                <w:sz w:val="22"/>
                <w:szCs w:val="21"/>
              </w:rPr>
            </w:pPr>
            <w:r>
              <w:rPr>
                <w:rFonts w:cs="Times New Roman"/>
                <w:sz w:val="22"/>
                <w:szCs w:val="21"/>
              </w:rPr>
              <w:t>死库容（万m</w:t>
            </w:r>
            <w:r>
              <w:rPr>
                <w:rFonts w:cs="Times New Roman"/>
                <w:sz w:val="22"/>
                <w:szCs w:val="21"/>
                <w:vertAlign w:val="superscript"/>
              </w:rPr>
              <w:t>3</w:t>
            </w:r>
            <w:r>
              <w:rPr>
                <w:rFonts w:cs="Times New Roman"/>
                <w:sz w:val="22"/>
                <w:szCs w:val="21"/>
              </w:rPr>
              <w:t>）</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126</w:t>
            </w:r>
          </w:p>
        </w:tc>
        <w:tc>
          <w:tcPr>
            <w:tcW w:w="628" w:type="dxa"/>
            <w:vMerge w:val="continue"/>
            <w:vAlign w:val="center"/>
          </w:tcPr>
          <w:p>
            <w:pPr>
              <w:spacing w:line="240" w:lineRule="auto"/>
              <w:ind w:firstLine="0" w:firstLineChars="0"/>
              <w:jc w:val="center"/>
              <w:rPr>
                <w:rFonts w:cs="Times New Roman"/>
                <w:sz w:val="22"/>
                <w:szCs w:val="21"/>
              </w:rPr>
            </w:pPr>
          </w:p>
        </w:tc>
        <w:tc>
          <w:tcPr>
            <w:tcW w:w="2542" w:type="dxa"/>
            <w:gridSpan w:val="2"/>
            <w:vAlign w:val="center"/>
          </w:tcPr>
          <w:p>
            <w:pPr>
              <w:widowControl/>
              <w:spacing w:line="240" w:lineRule="auto"/>
              <w:ind w:firstLine="0" w:firstLineChars="0"/>
              <w:jc w:val="left"/>
              <w:rPr>
                <w:rFonts w:cs="Times New Roman"/>
                <w:sz w:val="22"/>
                <w:szCs w:val="21"/>
              </w:rPr>
            </w:pPr>
            <w:r>
              <w:rPr>
                <w:rFonts w:cs="Times New Roman"/>
                <w:sz w:val="22"/>
                <w:szCs w:val="21"/>
              </w:rPr>
              <w:t>启闭设备</w:t>
            </w:r>
          </w:p>
        </w:tc>
        <w:tc>
          <w:tcPr>
            <w:tcW w:w="1501" w:type="dxa"/>
            <w:vAlign w:val="center"/>
          </w:tcPr>
          <w:p>
            <w:pPr>
              <w:widowControl/>
              <w:spacing w:line="240" w:lineRule="auto"/>
              <w:ind w:firstLine="0" w:firstLineChars="0"/>
              <w:jc w:val="center"/>
              <w:rPr>
                <w:rFonts w:cs="Times New Roman"/>
                <w:sz w:val="22"/>
                <w:szCs w:val="21"/>
              </w:rPr>
            </w:pPr>
            <w:r>
              <w:rPr>
                <w:rFonts w:cs="Times New Roman"/>
                <w:sz w:val="22"/>
                <w:szCs w:val="21"/>
              </w:rPr>
              <w:t>液压启闭机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1" w:type="dxa"/>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工程运行情况</w:t>
            </w:r>
          </w:p>
        </w:tc>
        <w:tc>
          <w:tcPr>
            <w:tcW w:w="2386" w:type="dxa"/>
            <w:gridSpan w:val="3"/>
            <w:vAlign w:val="center"/>
          </w:tcPr>
          <w:p>
            <w:pPr>
              <w:widowControl/>
              <w:spacing w:line="240" w:lineRule="auto"/>
              <w:ind w:firstLine="0" w:firstLineChars="0"/>
              <w:jc w:val="left"/>
              <w:rPr>
                <w:rFonts w:cs="Times New Roman"/>
                <w:sz w:val="22"/>
                <w:szCs w:val="21"/>
              </w:rPr>
            </w:pPr>
            <w:r>
              <w:rPr>
                <w:rFonts w:cs="Times New Roman"/>
                <w:sz w:val="22"/>
                <w:szCs w:val="21"/>
              </w:rPr>
              <w:t>最高库水位（m）及发生日期</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1440.00m</w:t>
            </w:r>
          </w:p>
          <w:p>
            <w:pPr>
              <w:widowControl/>
              <w:spacing w:line="240" w:lineRule="auto"/>
              <w:ind w:firstLine="0" w:firstLineChars="0"/>
              <w:jc w:val="center"/>
              <w:rPr>
                <w:rFonts w:cs="Times New Roman"/>
                <w:sz w:val="22"/>
                <w:szCs w:val="21"/>
              </w:rPr>
            </w:pPr>
            <w:r>
              <w:rPr>
                <w:rFonts w:cs="Times New Roman"/>
                <w:sz w:val="22"/>
                <w:szCs w:val="21"/>
              </w:rPr>
              <w:t>2020-4-15</w:t>
            </w:r>
          </w:p>
        </w:tc>
        <w:tc>
          <w:tcPr>
            <w:tcW w:w="1130" w:type="dxa"/>
            <w:gridSpan w:val="2"/>
            <w:vAlign w:val="center"/>
          </w:tcPr>
          <w:p>
            <w:pPr>
              <w:spacing w:line="240" w:lineRule="auto"/>
              <w:ind w:firstLine="0" w:firstLineChars="0"/>
              <w:jc w:val="center"/>
              <w:rPr>
                <w:rFonts w:cs="Times New Roman"/>
                <w:sz w:val="22"/>
                <w:szCs w:val="21"/>
              </w:rPr>
            </w:pPr>
            <w:r>
              <w:rPr>
                <w:rFonts w:cs="Times New Roman"/>
                <w:sz w:val="22"/>
                <w:szCs w:val="21"/>
              </w:rPr>
              <w:t>非常溢洪道</w:t>
            </w:r>
          </w:p>
        </w:tc>
        <w:tc>
          <w:tcPr>
            <w:tcW w:w="3541" w:type="dxa"/>
            <w:gridSpan w:val="2"/>
            <w:vAlign w:val="center"/>
          </w:tcPr>
          <w:p>
            <w:pPr>
              <w:spacing w:line="240" w:lineRule="auto"/>
              <w:ind w:firstLine="0" w:firstLineChars="0"/>
              <w:jc w:val="center"/>
              <w:rPr>
                <w:rFonts w:cs="Times New Roman"/>
                <w:sz w:val="22"/>
                <w:szCs w:val="21"/>
              </w:rPr>
            </w:pPr>
            <w:r>
              <w:rPr>
                <w:rFonts w:cs="Times New Roman"/>
                <w:sz w:val="22"/>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91" w:type="dxa"/>
            <w:vMerge w:val="continue"/>
            <w:vAlign w:val="center"/>
          </w:tcPr>
          <w:p>
            <w:pPr>
              <w:widowControl/>
              <w:spacing w:line="240" w:lineRule="auto"/>
              <w:ind w:firstLine="0" w:firstLineChars="0"/>
              <w:jc w:val="left"/>
              <w:rPr>
                <w:rFonts w:cs="Times New Roman"/>
                <w:sz w:val="22"/>
                <w:szCs w:val="21"/>
              </w:rPr>
            </w:pPr>
          </w:p>
        </w:tc>
        <w:tc>
          <w:tcPr>
            <w:tcW w:w="2386" w:type="dxa"/>
            <w:gridSpan w:val="3"/>
            <w:vAlign w:val="center"/>
          </w:tcPr>
          <w:p>
            <w:pPr>
              <w:widowControl/>
              <w:spacing w:line="240" w:lineRule="auto"/>
              <w:ind w:firstLine="0" w:firstLineChars="0"/>
              <w:jc w:val="left"/>
              <w:rPr>
                <w:rFonts w:cs="Times New Roman"/>
                <w:sz w:val="22"/>
                <w:szCs w:val="21"/>
              </w:rPr>
            </w:pPr>
            <w:r>
              <w:rPr>
                <w:rFonts w:cs="Times New Roman"/>
                <w:sz w:val="22"/>
                <w:szCs w:val="21"/>
              </w:rPr>
              <w:t>最大入库流量（m</w:t>
            </w:r>
            <w:r>
              <w:rPr>
                <w:rFonts w:cs="Times New Roman"/>
                <w:sz w:val="22"/>
                <w:szCs w:val="21"/>
                <w:vertAlign w:val="superscript"/>
              </w:rPr>
              <w:t>3</w:t>
            </w:r>
            <w:r>
              <w:rPr>
                <w:rFonts w:cs="Times New Roman"/>
                <w:sz w:val="22"/>
                <w:szCs w:val="21"/>
              </w:rPr>
              <w:t>/s）及发生日期</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约200 m</w:t>
            </w:r>
            <w:r>
              <w:rPr>
                <w:rFonts w:cs="Times New Roman"/>
                <w:sz w:val="22"/>
                <w:szCs w:val="21"/>
                <w:vertAlign w:val="superscript"/>
              </w:rPr>
              <w:t>3</w:t>
            </w:r>
            <w:r>
              <w:rPr>
                <w:rFonts w:cs="Times New Roman"/>
                <w:sz w:val="22"/>
                <w:szCs w:val="21"/>
              </w:rPr>
              <w:t>/s</w:t>
            </w:r>
          </w:p>
          <w:p>
            <w:pPr>
              <w:widowControl/>
              <w:spacing w:line="240" w:lineRule="auto"/>
              <w:ind w:firstLine="0" w:firstLineChars="0"/>
              <w:jc w:val="center"/>
              <w:rPr>
                <w:rFonts w:cs="Times New Roman"/>
                <w:sz w:val="22"/>
                <w:szCs w:val="21"/>
              </w:rPr>
            </w:pPr>
            <w:r>
              <w:rPr>
                <w:rFonts w:cs="Times New Roman"/>
                <w:sz w:val="22"/>
                <w:szCs w:val="21"/>
              </w:rPr>
              <w:t>2012年7月</w:t>
            </w:r>
          </w:p>
        </w:tc>
        <w:tc>
          <w:tcPr>
            <w:tcW w:w="1130" w:type="dxa"/>
            <w:gridSpan w:val="2"/>
            <w:vMerge w:val="restart"/>
            <w:vAlign w:val="center"/>
          </w:tcPr>
          <w:p>
            <w:pPr>
              <w:widowControl/>
              <w:spacing w:line="240" w:lineRule="auto"/>
              <w:ind w:firstLine="0" w:firstLineChars="0"/>
              <w:jc w:val="center"/>
              <w:rPr>
                <w:rFonts w:cs="Times New Roman"/>
                <w:sz w:val="22"/>
                <w:szCs w:val="21"/>
              </w:rPr>
            </w:pPr>
            <w:r>
              <w:rPr>
                <w:rFonts w:cs="Times New Roman"/>
                <w:sz w:val="22"/>
                <w:szCs w:val="21"/>
              </w:rPr>
              <w:t>备注</w:t>
            </w:r>
          </w:p>
        </w:tc>
        <w:tc>
          <w:tcPr>
            <w:tcW w:w="3541" w:type="dxa"/>
            <w:gridSpan w:val="2"/>
            <w:vMerge w:val="restart"/>
          </w:tcPr>
          <w:p>
            <w:pPr>
              <w:widowControl/>
              <w:spacing w:line="240" w:lineRule="auto"/>
              <w:ind w:firstLine="0" w:firstLineChars="0"/>
              <w:jc w:val="left"/>
              <w:rPr>
                <w:rFonts w:cs="Times New Roman"/>
                <w:sz w:val="22"/>
                <w:szCs w:val="21"/>
              </w:rPr>
            </w:pPr>
            <w:r>
              <w:rPr>
                <w:rFonts w:cs="Times New Roman"/>
                <w:sz w:val="22"/>
                <w:szCs w:val="21"/>
              </w:rPr>
              <w:t>建库后没有及时设置入库水文观测站，最大入库流量据库区水位变化应发生在2008年、2012年和2013年，入库流量为估算结果。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91" w:type="dxa"/>
            <w:vMerge w:val="continue"/>
            <w:vAlign w:val="center"/>
          </w:tcPr>
          <w:p>
            <w:pPr>
              <w:widowControl/>
              <w:spacing w:line="240" w:lineRule="auto"/>
              <w:ind w:firstLine="0" w:firstLineChars="0"/>
              <w:jc w:val="left"/>
              <w:rPr>
                <w:rFonts w:cs="Times New Roman"/>
                <w:sz w:val="22"/>
                <w:szCs w:val="21"/>
              </w:rPr>
            </w:pPr>
          </w:p>
        </w:tc>
        <w:tc>
          <w:tcPr>
            <w:tcW w:w="2386" w:type="dxa"/>
            <w:gridSpan w:val="3"/>
            <w:vAlign w:val="center"/>
          </w:tcPr>
          <w:p>
            <w:pPr>
              <w:widowControl/>
              <w:spacing w:line="240" w:lineRule="auto"/>
              <w:ind w:firstLine="0" w:firstLineChars="0"/>
              <w:jc w:val="left"/>
              <w:rPr>
                <w:rFonts w:cs="Times New Roman"/>
                <w:sz w:val="22"/>
                <w:szCs w:val="21"/>
              </w:rPr>
            </w:pPr>
            <w:r>
              <w:rPr>
                <w:rFonts w:cs="Times New Roman"/>
                <w:sz w:val="22"/>
                <w:szCs w:val="21"/>
              </w:rPr>
              <w:t>最大出库流量（m</w:t>
            </w:r>
            <w:r>
              <w:rPr>
                <w:rFonts w:cs="Times New Roman"/>
                <w:sz w:val="22"/>
                <w:szCs w:val="21"/>
                <w:vertAlign w:val="superscript"/>
              </w:rPr>
              <w:t>3</w:t>
            </w:r>
            <w:r>
              <w:rPr>
                <w:rFonts w:cs="Times New Roman"/>
                <w:sz w:val="22"/>
                <w:szCs w:val="21"/>
              </w:rPr>
              <w:t>/s）及发生日期</w:t>
            </w:r>
          </w:p>
        </w:tc>
        <w:tc>
          <w:tcPr>
            <w:tcW w:w="1536" w:type="dxa"/>
            <w:vAlign w:val="center"/>
          </w:tcPr>
          <w:p>
            <w:pPr>
              <w:widowControl/>
              <w:spacing w:line="240" w:lineRule="auto"/>
              <w:ind w:firstLine="0" w:firstLineChars="0"/>
              <w:jc w:val="center"/>
              <w:rPr>
                <w:rFonts w:cs="Times New Roman"/>
                <w:sz w:val="22"/>
                <w:szCs w:val="21"/>
              </w:rPr>
            </w:pPr>
            <w:r>
              <w:rPr>
                <w:rFonts w:cs="Times New Roman"/>
                <w:sz w:val="22"/>
                <w:szCs w:val="21"/>
              </w:rPr>
              <w:t>80 m</w:t>
            </w:r>
            <w:r>
              <w:rPr>
                <w:rFonts w:cs="Times New Roman"/>
                <w:sz w:val="22"/>
                <w:szCs w:val="21"/>
                <w:vertAlign w:val="superscript"/>
              </w:rPr>
              <w:t>3</w:t>
            </w:r>
            <w:r>
              <w:rPr>
                <w:rFonts w:cs="Times New Roman"/>
                <w:sz w:val="22"/>
                <w:szCs w:val="21"/>
              </w:rPr>
              <w:t>/s</w:t>
            </w:r>
          </w:p>
          <w:p>
            <w:pPr>
              <w:widowControl/>
              <w:spacing w:line="240" w:lineRule="auto"/>
              <w:ind w:firstLine="0" w:firstLineChars="0"/>
              <w:jc w:val="center"/>
              <w:rPr>
                <w:rFonts w:cs="Times New Roman"/>
                <w:sz w:val="22"/>
                <w:szCs w:val="21"/>
              </w:rPr>
            </w:pPr>
            <w:r>
              <w:rPr>
                <w:rFonts w:cs="Times New Roman"/>
                <w:sz w:val="22"/>
                <w:szCs w:val="21"/>
              </w:rPr>
              <w:t>2011年4月</w:t>
            </w:r>
          </w:p>
        </w:tc>
        <w:tc>
          <w:tcPr>
            <w:tcW w:w="1130" w:type="dxa"/>
            <w:gridSpan w:val="2"/>
            <w:vMerge w:val="continue"/>
            <w:vAlign w:val="center"/>
          </w:tcPr>
          <w:p>
            <w:pPr>
              <w:widowControl/>
              <w:spacing w:line="240" w:lineRule="auto"/>
              <w:ind w:firstLine="0" w:firstLineChars="0"/>
              <w:jc w:val="center"/>
              <w:rPr>
                <w:rFonts w:cs="Times New Roman"/>
                <w:sz w:val="22"/>
                <w:szCs w:val="21"/>
              </w:rPr>
            </w:pPr>
          </w:p>
        </w:tc>
        <w:tc>
          <w:tcPr>
            <w:tcW w:w="3541" w:type="dxa"/>
            <w:gridSpan w:val="2"/>
            <w:vMerge w:val="continue"/>
          </w:tcPr>
          <w:p>
            <w:pPr>
              <w:widowControl/>
              <w:spacing w:line="240" w:lineRule="auto"/>
              <w:ind w:firstLine="0" w:firstLineChars="0"/>
              <w:jc w:val="left"/>
              <w:rPr>
                <w:rFonts w:cs="Times New Roman"/>
                <w:sz w:val="22"/>
                <w:szCs w:val="21"/>
              </w:rPr>
            </w:pPr>
          </w:p>
        </w:tc>
      </w:tr>
    </w:tbl>
    <w:p>
      <w:pPr>
        <w:ind w:firstLine="0" w:firstLineChars="0"/>
      </w:pPr>
    </w:p>
    <w:p>
      <w:pPr>
        <w:keepNext/>
        <w:keepLines/>
        <w:widowControl/>
        <w:spacing w:before="156" w:beforeLines="50" w:after="156" w:afterLines="50"/>
        <w:ind w:firstLine="0" w:firstLineChars="0"/>
        <w:outlineLvl w:val="1"/>
        <w:rPr>
          <w:rFonts w:cs="Times New Roman"/>
          <w:b/>
          <w:bCs/>
          <w:kern w:val="0"/>
          <w:sz w:val="30"/>
          <w:szCs w:val="26"/>
        </w:rPr>
      </w:pPr>
      <w:bookmarkStart w:id="7" w:name="_Toc60218849"/>
      <w:r>
        <w:rPr>
          <w:rFonts w:cs="Times New Roman"/>
          <w:b/>
          <w:bCs/>
          <w:kern w:val="0"/>
          <w:sz w:val="30"/>
          <w:szCs w:val="26"/>
        </w:rPr>
        <w:t xml:space="preserve">1.2 </w:t>
      </w:r>
      <w:r>
        <w:rPr>
          <w:rFonts w:hint="eastAsia" w:cs="Times New Roman"/>
          <w:b/>
          <w:bCs/>
          <w:kern w:val="0"/>
          <w:sz w:val="30"/>
          <w:szCs w:val="26"/>
        </w:rPr>
        <w:t>气象水文</w:t>
      </w:r>
      <w:bookmarkEnd w:id="7"/>
    </w:p>
    <w:p>
      <w:pPr>
        <w:keepNext/>
        <w:keepLines/>
        <w:widowControl/>
        <w:spacing w:before="156" w:beforeLines="50" w:after="156" w:afterLines="50"/>
        <w:ind w:firstLine="0" w:firstLineChars="0"/>
        <w:outlineLvl w:val="2"/>
        <w:rPr>
          <w:rFonts w:cs="Times New Roman"/>
          <w:b/>
          <w:bCs/>
          <w:kern w:val="0"/>
        </w:rPr>
      </w:pPr>
      <w:r>
        <w:rPr>
          <w:rFonts w:cs="Times New Roman"/>
          <w:b/>
          <w:bCs/>
          <w:kern w:val="0"/>
        </w:rPr>
        <w:t>1</w:t>
      </w:r>
      <w:r>
        <w:rPr>
          <w:rFonts w:hint="eastAsia" w:cs="Times New Roman"/>
          <w:b/>
          <w:bCs/>
          <w:kern w:val="0"/>
        </w:rPr>
        <w:t>.</w:t>
      </w:r>
      <w:r>
        <w:rPr>
          <w:rFonts w:cs="Times New Roman"/>
          <w:b/>
          <w:bCs/>
          <w:kern w:val="0"/>
        </w:rPr>
        <w:t>2</w:t>
      </w:r>
      <w:r>
        <w:rPr>
          <w:rFonts w:hint="eastAsia" w:cs="Times New Roman"/>
          <w:b/>
          <w:bCs/>
          <w:kern w:val="0"/>
        </w:rPr>
        <w:t>.1 气象</w:t>
      </w:r>
    </w:p>
    <w:p>
      <w:pPr>
        <w:ind w:firstLine="560"/>
      </w:pPr>
      <w:r>
        <w:t>哈拉沁水库坝址处属典型的蒙古高原大陆性气候，四季气候变化明显，年温差大，日温差也大。其特点：春季干燥多风，冷暖变化剧烈；夏季短暂、炎热、少雨；秋季降温迅速，常有霜冻；冬季漫长、严寒、少雪。</w:t>
      </w:r>
    </w:p>
    <w:p>
      <w:pPr>
        <w:ind w:firstLine="560"/>
      </w:pPr>
      <w:r>
        <w:t>初步设计采用的多年平均降水量395.0mm。降水年际变化大，最大降水量654.1mm（2003年），最小年降水量177.1mm（2011年）。降水量年内分布也不均匀，最大降水量为106.4mm（7月），最小降水量为2.6mm（1月），6-9月占全年的74%。多年平均蒸发量为1550.6mm（E601型蒸发皿）。春夏两季蒸发量较大，4-8月蒸发量占全年蒸发量的64%，4月份蒸发量占全年蒸发量的14%。</w:t>
      </w:r>
    </w:p>
    <w:p>
      <w:pPr>
        <w:ind w:firstLine="560"/>
      </w:pPr>
      <w:r>
        <w:t>多年平均气温8.3℃，年际变化不大，介于7℃-9℃之间。气温年内变化大，1月份最低，平均气温-10.6℃；7月份气温最高，平均气温23.6℃；11月份至翌年2月份平均气温在0℃以下。</w:t>
      </w:r>
    </w:p>
    <w:p>
      <w:pPr>
        <w:ind w:firstLine="560"/>
      </w:pPr>
      <w:r>
        <w:t>年主导风向为ENE风，出现频率为13.0%，NE风的出现频率也较高为10.0%，静风的年出现频率为23.1%。全年以NNW方向和WNW方向的风平均风速最大，分别为3.3m/s和3.2m/s；该地区年平均风速为1.6m/s。全年以春季风速最大（如四月份风速为2.3m/s），平均风速最小出现在一月、八月和十二月份，平均风速为1.3m/s，风速的年较差为1.0 m/s。</w:t>
      </w:r>
    </w:p>
    <w:p>
      <w:pPr>
        <w:ind w:firstLine="560"/>
      </w:pPr>
      <w:r>
        <w:t>多年平均相对湿度为49%，最大平均相对湿度出现在2003年，为59%，最小平均相对湿度出现在2011年，为42%。相对湿度年内分布也不均匀，最大相对湿度出现在8，9月为57%，最小相对湿度出现在4月为33%。</w:t>
      </w:r>
    </w:p>
    <w:p>
      <w:pPr>
        <w:keepNext/>
        <w:keepLines/>
        <w:widowControl/>
        <w:spacing w:before="156" w:beforeLines="50" w:after="156" w:afterLines="50"/>
        <w:ind w:firstLine="0" w:firstLineChars="0"/>
        <w:outlineLvl w:val="2"/>
        <w:rPr>
          <w:rFonts w:cs="Times New Roman"/>
          <w:b/>
          <w:bCs/>
          <w:kern w:val="0"/>
        </w:rPr>
      </w:pPr>
      <w:r>
        <w:rPr>
          <w:rFonts w:cs="Times New Roman"/>
          <w:b/>
          <w:bCs/>
          <w:kern w:val="0"/>
        </w:rPr>
        <w:t>1</w:t>
      </w:r>
      <w:r>
        <w:rPr>
          <w:rFonts w:hint="eastAsia" w:cs="Times New Roman"/>
          <w:b/>
          <w:bCs/>
          <w:kern w:val="0"/>
        </w:rPr>
        <w:t>.</w:t>
      </w:r>
      <w:r>
        <w:rPr>
          <w:rFonts w:cs="Times New Roman"/>
          <w:b/>
          <w:bCs/>
          <w:kern w:val="0"/>
        </w:rPr>
        <w:t>2</w:t>
      </w:r>
      <w:r>
        <w:rPr>
          <w:rFonts w:hint="eastAsia" w:cs="Times New Roman"/>
          <w:b/>
          <w:bCs/>
          <w:kern w:val="0"/>
        </w:rPr>
        <w:t>.</w:t>
      </w:r>
      <w:r>
        <w:rPr>
          <w:rFonts w:cs="Times New Roman"/>
          <w:b/>
          <w:bCs/>
          <w:kern w:val="0"/>
        </w:rPr>
        <w:t>2</w:t>
      </w:r>
      <w:r>
        <w:rPr>
          <w:rFonts w:hint="eastAsia" w:cs="Times New Roman"/>
          <w:b/>
          <w:bCs/>
          <w:kern w:val="0"/>
        </w:rPr>
        <w:t xml:space="preserve"> 水文</w:t>
      </w:r>
    </w:p>
    <w:p>
      <w:pPr>
        <w:ind w:firstLine="560"/>
      </w:pPr>
      <w:r>
        <w:t>哈拉沁水库坝址附近无水文站，下游14.2km有哈拉沁水文站，哈拉沁水文站于1956年6月由内蒙古水利厅设立为基本站，1967年1月1日上迁230m，改为哈拉沁（二）站，1971年1月1日由内蒙古自治区呼和浩特市郊区水电局管理，1983年归自治区水文局领导。观测项目有水位、流量、泥沙、冰情、降水等。</w:t>
      </w:r>
    </w:p>
    <w:p>
      <w:pPr>
        <w:ind w:firstLine="560"/>
      </w:pPr>
      <w:r>
        <w:t>根据哈拉沁水文站年径流1957-2000年共44年资料分析得知，该站丰水年段、枯水年段明显，因此认为该站径流系列具有一定的代表性，水库坝址以上多年平均径流量为2325×10</w:t>
      </w:r>
      <w:r>
        <w:rPr>
          <w:vertAlign w:val="superscript"/>
        </w:rPr>
        <w:t>4</w:t>
      </w:r>
      <w:r>
        <w:t>m</w:t>
      </w:r>
      <w:r>
        <w:rPr>
          <w:vertAlign w:val="superscript"/>
        </w:rPr>
        <w:t>3</w:t>
      </w:r>
      <w:r>
        <w:t>。 2000年之后，由于哈拉沁水库的建设施工及下游蓄能电站的建设，哈拉沁（二）水文站所测的径流资料已经转变为调蓄后的河道流量，已不能代表上游的天然来水量。由于哈拉沁水文站年径流资料与同时期的呼和浩特市气象站降雨量有较好的相关性，2000年之后的流域天然径流量资料可以通过插补延长获得，经计算多年平均径流为1995.6×10</w:t>
      </w:r>
      <w:r>
        <w:rPr>
          <w:vertAlign w:val="superscript"/>
        </w:rPr>
        <w:t>4</w:t>
      </w:r>
      <w:r>
        <w:t>m</w:t>
      </w:r>
      <w:r>
        <w:rPr>
          <w:vertAlign w:val="superscript"/>
        </w:rPr>
        <w:t>3</w:t>
      </w:r>
      <w:r>
        <w:t>。哈拉沁水库上游来水多年平均悬移质输沙量53万吨，多年平均含沙量25.9kg/m</w:t>
      </w:r>
      <w:r>
        <w:rPr>
          <w:vertAlign w:val="superscript"/>
        </w:rPr>
        <w:t>3</w:t>
      </w:r>
      <w:r>
        <w:t>。</w:t>
      </w:r>
    </w:p>
    <w:p>
      <w:pPr>
        <w:ind w:firstLine="560"/>
      </w:pPr>
      <w:r>
        <w:t>流域暴雨与西太平洋副热带高压活动关系密切，7月中旬到8月上旬是暴雨最活跃的季节，暴雨主要水汽来源为孟加拉湾，形成暴雨的地面天气系统为河套气旋与低涡，暴雨突发性强，强度较大，降雨量集中，形成的洪水陡涨陡落，峰高量小，历时短，来势迅猛，一场暴雨形成一次洪水过程，洪水与暴雨同步，均发生在6-9月份。</w:t>
      </w:r>
    </w:p>
    <w:p>
      <w:pPr>
        <w:keepNext/>
        <w:keepLines/>
        <w:widowControl/>
        <w:spacing w:before="156" w:beforeLines="50" w:after="156" w:afterLines="50"/>
        <w:ind w:firstLine="0" w:firstLineChars="0"/>
        <w:outlineLvl w:val="1"/>
        <w:rPr>
          <w:rFonts w:cs="Times New Roman"/>
          <w:b/>
          <w:bCs/>
          <w:kern w:val="0"/>
          <w:sz w:val="30"/>
          <w:szCs w:val="26"/>
        </w:rPr>
      </w:pPr>
      <w:bookmarkStart w:id="8" w:name="_Toc60218850"/>
      <w:r>
        <w:rPr>
          <w:rFonts w:cs="Times New Roman"/>
          <w:b/>
          <w:bCs/>
          <w:kern w:val="0"/>
          <w:sz w:val="30"/>
          <w:szCs w:val="26"/>
        </w:rPr>
        <w:t xml:space="preserve">1.3 </w:t>
      </w:r>
      <w:r>
        <w:rPr>
          <w:rFonts w:hint="eastAsia" w:cs="Times New Roman"/>
          <w:b/>
          <w:bCs/>
          <w:kern w:val="0"/>
          <w:sz w:val="30"/>
          <w:szCs w:val="26"/>
        </w:rPr>
        <w:t>水库管理范围划定情况</w:t>
      </w:r>
      <w:bookmarkEnd w:id="8"/>
    </w:p>
    <w:p>
      <w:pPr>
        <w:ind w:firstLine="560"/>
      </w:pPr>
      <w:r>
        <w:rPr>
          <w:rFonts w:hint="eastAsia"/>
        </w:rPr>
        <w:t>工程管理范围与保护范围应按照保障工程安全、方便运行管理和保护水源的原则，根据水库工程管理需要，结合自然地理条件，综合划界，呼和浩特市哈拉沁水库工程于2</w:t>
      </w:r>
      <w:r>
        <w:t>002</w:t>
      </w:r>
      <w:r>
        <w:rPr>
          <w:rFonts w:hint="eastAsia"/>
        </w:rPr>
        <w:t>年内蒙古自治区水利水电勘测设计院设计，《内蒙古自治区呼和浩特市哈拉沁水库初步设计报告》中的工程管理设计依据的是《水库工程管理设计规范》（</w:t>
      </w:r>
      <w:r>
        <w:t>SL106-96</w:t>
      </w:r>
      <w:r>
        <w:rPr>
          <w:rFonts w:hint="eastAsia"/>
        </w:rPr>
        <w:t>），工程管理范围为：主体建筑物以大坝轴线中心向上300米向下各250米为工程管理范围，占地0.81km</w:t>
      </w:r>
      <w:r>
        <w:rPr>
          <w:vertAlign w:val="superscript"/>
        </w:rPr>
        <w:t>2</w:t>
      </w:r>
      <w:r>
        <w:rPr>
          <w:rFonts w:hint="eastAsia"/>
        </w:rPr>
        <w:t>。管理局及生活区以建筑物外墙外5m为界，占地约1万m</w:t>
      </w:r>
      <w:r>
        <w:rPr>
          <w:vertAlign w:val="superscript"/>
        </w:rPr>
        <w:t>2</w:t>
      </w:r>
      <w:r>
        <w:rPr>
          <w:rFonts w:hint="eastAsia"/>
        </w:rPr>
        <w:t>（0.01km</w:t>
      </w:r>
      <w:r>
        <w:rPr>
          <w:vertAlign w:val="superscript"/>
        </w:rPr>
        <w:t>2</w:t>
      </w:r>
      <w:r>
        <w:rPr>
          <w:rFonts w:hint="eastAsia"/>
        </w:rPr>
        <w:t>）。</w:t>
      </w:r>
    </w:p>
    <w:p>
      <w:pPr>
        <w:ind w:firstLine="560"/>
      </w:pPr>
      <w:r>
        <w:rPr>
          <w:rFonts w:hint="eastAsia"/>
        </w:rPr>
        <w:t>水库公路：以路中心线向两侧各50m为管理范围，占地0.9km</w:t>
      </w:r>
      <w:r>
        <w:rPr>
          <w:vertAlign w:val="superscript"/>
        </w:rPr>
        <w:t>2</w:t>
      </w:r>
      <w:r>
        <w:rPr>
          <w:rFonts w:hint="eastAsia"/>
        </w:rPr>
        <w:t>。</w:t>
      </w:r>
    </w:p>
    <w:p>
      <w:pPr>
        <w:ind w:firstLine="560"/>
      </w:pPr>
      <w:r>
        <w:rPr>
          <w:rFonts w:hint="eastAsia"/>
        </w:rPr>
        <w:t>水库库区：按正常高水位线向外50m，占地4km</w:t>
      </w:r>
      <w:r>
        <w:rPr>
          <w:vertAlign w:val="superscript"/>
        </w:rPr>
        <w:t>2</w:t>
      </w:r>
      <w:r>
        <w:rPr>
          <w:rFonts w:hint="eastAsia"/>
        </w:rPr>
        <w:t>。</w:t>
      </w:r>
    </w:p>
    <w:p>
      <w:pPr>
        <w:ind w:firstLine="560"/>
      </w:pPr>
      <w:r>
        <w:rPr>
          <w:rFonts w:hint="eastAsia"/>
        </w:rPr>
        <w:t>设计工程管理范围合5</w:t>
      </w:r>
      <w:r>
        <w:t>.7</w:t>
      </w:r>
      <w:r>
        <w:rPr>
          <w:rFonts w:hint="eastAsia"/>
        </w:rPr>
        <w:t xml:space="preserve"> km</w:t>
      </w:r>
      <w:r>
        <w:rPr>
          <w:vertAlign w:val="superscript"/>
        </w:rPr>
        <w:t>2</w:t>
      </w:r>
      <w:r>
        <w:rPr>
          <w:rFonts w:hint="eastAsia"/>
        </w:rPr>
        <w:t>，生产生活区管理范围为1万m</w:t>
      </w:r>
      <w:r>
        <w:rPr>
          <w:vertAlign w:val="superscript"/>
        </w:rPr>
        <w:t>2</w:t>
      </w:r>
      <w:r>
        <w:rPr>
          <w:rFonts w:hint="eastAsia"/>
        </w:rPr>
        <w:t>。但哈拉沁水库实际建设时间较长，在建设过程中水库管理区及其它设施发生较大变化，不可能按原始的管理范围设计执行，而且原始设计也未设计工程的保护范围，直到目前，哈拉沁水库也一直未划界，而且原规范已过时，现不可能按原设计划界。呼和浩特市春华水务集团有限责任公司依据《内蒙古自治区水利厅关于完善做好水利工程管理与保护范围划定工作的通知》（内水运管〔2</w:t>
      </w:r>
      <w:r>
        <w:t>021</w:t>
      </w:r>
      <w:r>
        <w:rPr>
          <w:rFonts w:hint="eastAsia"/>
        </w:rPr>
        <w:t>〕3</w:t>
      </w:r>
      <w:r>
        <w:t>2</w:t>
      </w:r>
      <w:r>
        <w:rPr>
          <w:rFonts w:hint="eastAsia"/>
        </w:rPr>
        <w:t>号）文件精神，委托我公司承担了呼和浩特市哈拉沁水库管理范围和保护范围的划界任务。</w:t>
      </w:r>
    </w:p>
    <w:p>
      <w:pPr>
        <w:ind w:firstLine="560"/>
        <w:rPr>
          <w:rFonts w:cs="Times New Roman"/>
          <w:color w:val="000000"/>
        </w:rPr>
      </w:pPr>
      <w:r>
        <w:rPr>
          <w:rFonts w:hint="eastAsia"/>
        </w:rPr>
        <w:t>本次《呼和浩特市哈拉沁水库管理和保护范围划界报告》特征值选取主要依据《水库工程管理设计规范》（SL106-2017）、《内蒙古自治区水工程管理和保护范围划定标准》综合选取，哈拉沁水库批复建设为中型水库，按中型水库的规定，</w:t>
      </w:r>
      <w:r>
        <w:rPr>
          <w:rFonts w:hint="eastAsia" w:cs="Times New Roman"/>
          <w:color w:val="000000"/>
        </w:rPr>
        <w:t>哈拉沁水库管理范围为：库区管理范围为校核洪水位</w:t>
      </w:r>
      <w:r>
        <w:rPr>
          <w:rFonts w:cs="Times New Roman"/>
          <w:color w:val="000000"/>
        </w:rPr>
        <w:t>1452.82</w:t>
      </w:r>
      <w:r>
        <w:rPr>
          <w:rFonts w:hint="eastAsia" w:cs="Times New Roman"/>
          <w:color w:val="000000"/>
        </w:rPr>
        <w:t>m以外</w:t>
      </w:r>
      <w:r>
        <w:rPr>
          <w:rFonts w:cs="Times New Roman"/>
          <w:color w:val="000000"/>
        </w:rPr>
        <w:t>50m</w:t>
      </w:r>
      <w:r>
        <w:rPr>
          <w:rFonts w:hint="eastAsia" w:cs="Times New Roman"/>
          <w:color w:val="000000"/>
        </w:rPr>
        <w:t>，大坝坝肩以外</w:t>
      </w:r>
      <w:r>
        <w:rPr>
          <w:rFonts w:cs="Times New Roman"/>
          <w:color w:val="000000"/>
        </w:rPr>
        <w:t>3</w:t>
      </w:r>
      <w:r>
        <w:rPr>
          <w:rFonts w:hint="eastAsia" w:cs="Times New Roman"/>
          <w:color w:val="000000"/>
        </w:rPr>
        <w:t>00m，坝脚以下</w:t>
      </w:r>
      <w:r>
        <w:rPr>
          <w:rFonts w:cs="Times New Roman"/>
          <w:color w:val="000000"/>
        </w:rPr>
        <w:t>700</w:t>
      </w:r>
      <w:r>
        <w:rPr>
          <w:rFonts w:hint="eastAsia" w:cs="Times New Roman"/>
          <w:color w:val="000000"/>
        </w:rPr>
        <w:t>m，</w:t>
      </w:r>
      <w:r>
        <w:rPr>
          <w:rFonts w:hint="eastAsia" w:ascii="宋体" w:hAnsi="宋体"/>
        </w:rPr>
        <w:t>附属建筑物本次涉及泄洪洞、放水洞，管理范围采用边缘以外</w:t>
      </w:r>
      <w:r>
        <w:rPr>
          <w:rFonts w:ascii="宋体" w:hAnsi="宋体"/>
        </w:rPr>
        <w:t>200m</w:t>
      </w:r>
      <w:r>
        <w:rPr>
          <w:rFonts w:hint="eastAsia" w:ascii="宋体" w:hAnsi="宋体"/>
        </w:rPr>
        <w:t>。</w:t>
      </w:r>
      <w:r>
        <w:rPr>
          <w:rFonts w:hint="eastAsia" w:cs="Times New Roman"/>
          <w:color w:val="000000"/>
        </w:rPr>
        <w:t>泄洪洞等建筑物管理范围已包含在管理范围内，不再单独考虑。</w:t>
      </w:r>
    </w:p>
    <w:p>
      <w:pPr>
        <w:widowControl/>
        <w:ind w:firstLine="560"/>
        <w:rPr>
          <w:rFonts w:cs="Times New Roman"/>
          <w:kern w:val="0"/>
          <w:szCs w:val="28"/>
        </w:rPr>
      </w:pPr>
      <w:r>
        <w:rPr>
          <w:rFonts w:hint="eastAsia" w:cs="Times New Roman"/>
          <w:color w:val="000000"/>
          <w:szCs w:val="24"/>
        </w:rPr>
        <w:t>哈拉沁水库保护</w:t>
      </w:r>
      <w:r>
        <w:rPr>
          <w:rFonts w:cs="Times New Roman"/>
          <w:color w:val="000000"/>
          <w:szCs w:val="24"/>
        </w:rPr>
        <w:t>范围为：</w:t>
      </w:r>
      <w:r>
        <w:rPr>
          <w:rFonts w:hint="eastAsia" w:cs="Times New Roman"/>
          <w:kern w:val="0"/>
          <w:szCs w:val="28"/>
        </w:rPr>
        <w:t>库区保护范围为管理范围以外</w:t>
      </w:r>
      <w:r>
        <w:rPr>
          <w:rFonts w:cs="Times New Roman"/>
          <w:kern w:val="0"/>
          <w:szCs w:val="28"/>
        </w:rPr>
        <w:t>50</w:t>
      </w:r>
      <w:r>
        <w:rPr>
          <w:rFonts w:hint="eastAsia" w:cs="Times New Roman"/>
          <w:kern w:val="0"/>
          <w:szCs w:val="28"/>
        </w:rPr>
        <w:t>m，大坝保护范围为管理范围以外</w:t>
      </w:r>
      <w:r>
        <w:rPr>
          <w:rFonts w:cs="Times New Roman"/>
          <w:kern w:val="0"/>
          <w:szCs w:val="28"/>
        </w:rPr>
        <w:t>2</w:t>
      </w:r>
      <w:r>
        <w:rPr>
          <w:rFonts w:hint="eastAsia" w:cs="Times New Roman"/>
          <w:kern w:val="0"/>
          <w:szCs w:val="28"/>
        </w:rPr>
        <w:t>00m，下游保护范围为管理范围以外</w:t>
      </w:r>
      <w:r>
        <w:rPr>
          <w:rFonts w:cs="Times New Roman"/>
          <w:kern w:val="0"/>
          <w:szCs w:val="28"/>
        </w:rPr>
        <w:t>3</w:t>
      </w:r>
      <w:r>
        <w:rPr>
          <w:rFonts w:hint="eastAsia" w:cs="Times New Roman"/>
          <w:kern w:val="0"/>
          <w:szCs w:val="28"/>
        </w:rPr>
        <w:t>00m，附属建筑物保护范围为管理范围以外</w:t>
      </w:r>
      <w:r>
        <w:rPr>
          <w:rFonts w:cs="Times New Roman"/>
          <w:kern w:val="0"/>
          <w:szCs w:val="28"/>
        </w:rPr>
        <w:t>2</w:t>
      </w:r>
      <w:r>
        <w:rPr>
          <w:rFonts w:hint="eastAsia" w:cs="Times New Roman"/>
          <w:kern w:val="0"/>
          <w:szCs w:val="28"/>
        </w:rPr>
        <w:t>00m。</w:t>
      </w:r>
    </w:p>
    <w:p>
      <w:pPr>
        <w:widowControl/>
        <w:ind w:firstLine="0" w:firstLineChars="0"/>
        <w:rPr>
          <w:rFonts w:hint="eastAsia" w:cs="Times New Roman"/>
          <w:kern w:val="0"/>
          <w:szCs w:val="28"/>
        </w:rPr>
      </w:pPr>
      <w:r>
        <w:drawing>
          <wp:inline distT="0" distB="0" distL="0" distR="0">
            <wp:extent cx="5274310" cy="3811270"/>
            <wp:effectExtent l="0" t="0" r="2540" b="0"/>
            <wp:docPr id="5" name="图片 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图&#10;&#10;描述已自动生成"/>
                    <pic:cNvPicPr>
                      <a:picLocks noChangeAspect="1"/>
                    </pic:cNvPicPr>
                  </pic:nvPicPr>
                  <pic:blipFill>
                    <a:blip r:embed="rId36"/>
                    <a:stretch>
                      <a:fillRect/>
                    </a:stretch>
                  </pic:blipFill>
                  <pic:spPr>
                    <a:xfrm>
                      <a:off x="0" y="0"/>
                      <a:ext cx="5274310" cy="3811270"/>
                    </a:xfrm>
                    <a:prstGeom prst="rect">
                      <a:avLst/>
                    </a:prstGeom>
                  </pic:spPr>
                </pic:pic>
              </a:graphicData>
            </a:graphic>
          </wp:inline>
        </w:drawing>
      </w:r>
    </w:p>
    <w:p>
      <w:pPr>
        <w:pStyle w:val="61"/>
        <w:ind w:firstLine="0"/>
        <w:rPr>
          <w:rFonts w:cs="Times New Roman"/>
          <w:sz w:val="28"/>
          <w:szCs w:val="28"/>
        </w:rPr>
      </w:pPr>
      <w:r>
        <w:rPr>
          <w:rFonts w:hint="eastAsia" w:cs="Times New Roman"/>
          <w:sz w:val="28"/>
          <w:szCs w:val="28"/>
        </w:rPr>
        <w:t>图1-</w:t>
      </w:r>
      <w:r>
        <w:rPr>
          <w:rFonts w:cs="Times New Roman"/>
          <w:sz w:val="28"/>
          <w:szCs w:val="28"/>
        </w:rPr>
        <w:t xml:space="preserve">4 </w:t>
      </w:r>
      <w:r>
        <w:rPr>
          <w:rFonts w:hint="eastAsia" w:cs="Times New Roman"/>
          <w:sz w:val="28"/>
          <w:szCs w:val="28"/>
        </w:rPr>
        <w:t>哈拉沁</w:t>
      </w:r>
      <w:r>
        <w:rPr>
          <w:rFonts w:cs="Times New Roman"/>
          <w:sz w:val="28"/>
          <w:szCs w:val="28"/>
        </w:rPr>
        <w:t>水库管理范围线划定</w:t>
      </w:r>
      <w:r>
        <w:rPr>
          <w:rFonts w:hint="eastAsia" w:cs="Times New Roman"/>
          <w:sz w:val="28"/>
          <w:szCs w:val="28"/>
        </w:rPr>
        <w:t>平面</w:t>
      </w:r>
      <w:r>
        <w:rPr>
          <w:rFonts w:cs="Times New Roman"/>
          <w:sz w:val="28"/>
          <w:szCs w:val="28"/>
        </w:rPr>
        <w:t>示意图</w:t>
      </w:r>
    </w:p>
    <w:p>
      <w:pPr>
        <w:ind w:firstLine="560"/>
        <w:sectPr>
          <w:headerReference r:id="rId15" w:type="default"/>
          <w:footerReference r:id="rId16" w:type="default"/>
          <w:pgSz w:w="11906" w:h="16838"/>
          <w:pgMar w:top="1440" w:right="1800" w:bottom="1440" w:left="1800" w:header="851" w:footer="992" w:gutter="0"/>
          <w:cols w:space="425" w:num="1"/>
          <w:docGrid w:type="lines" w:linePitch="312" w:charSpace="0"/>
        </w:sectPr>
      </w:pPr>
    </w:p>
    <w:p>
      <w:pPr>
        <w:pStyle w:val="64"/>
        <w:rPr>
          <w:rFonts w:cs="Times New Roman"/>
          <w:sz w:val="28"/>
          <w:szCs w:val="28"/>
        </w:rPr>
      </w:pPr>
      <w:r>
        <w:rPr>
          <w:rFonts w:cs="Times New Roman"/>
          <w:sz w:val="28"/>
          <w:szCs w:val="28"/>
        </w:rPr>
        <w:t>表</w:t>
      </w:r>
      <w:r>
        <w:rPr>
          <w:rFonts w:hint="eastAsia" w:cs="Times New Roman"/>
          <w:sz w:val="28"/>
          <w:szCs w:val="28"/>
        </w:rPr>
        <w:t>1</w:t>
      </w:r>
      <w:r>
        <w:rPr>
          <w:rFonts w:cs="Times New Roman"/>
          <w:sz w:val="28"/>
          <w:szCs w:val="28"/>
        </w:rPr>
        <w:t>-</w:t>
      </w:r>
      <w:r>
        <w:rPr>
          <w:rFonts w:hint="eastAsia" w:cs="Times New Roman"/>
          <w:sz w:val="28"/>
          <w:szCs w:val="28"/>
        </w:rPr>
        <w:t>2</w:t>
      </w:r>
      <w:r>
        <w:rPr>
          <w:rFonts w:cs="Times New Roman"/>
          <w:sz w:val="28"/>
          <w:szCs w:val="28"/>
        </w:rPr>
        <w:t xml:space="preserve"> </w:t>
      </w:r>
      <w:r>
        <w:rPr>
          <w:rFonts w:hint="eastAsia" w:cs="Times New Roman"/>
          <w:sz w:val="28"/>
          <w:szCs w:val="28"/>
        </w:rPr>
        <w:t>哈拉沁</w:t>
      </w:r>
      <w:r>
        <w:rPr>
          <w:rFonts w:cs="Times New Roman"/>
          <w:sz w:val="28"/>
          <w:szCs w:val="28"/>
        </w:rPr>
        <w:t>水库管理范围线划定成果表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338"/>
        <w:gridCol w:w="1233"/>
        <w:gridCol w:w="1338"/>
        <w:gridCol w:w="1233"/>
        <w:gridCol w:w="757"/>
        <w:gridCol w:w="955"/>
        <w:gridCol w:w="1242"/>
        <w:gridCol w:w="2166"/>
        <w:gridCol w:w="175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trPr>
        <w:tc>
          <w:tcPr>
            <w:tcW w:w="233"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名称</w:t>
            </w:r>
          </w:p>
        </w:tc>
        <w:tc>
          <w:tcPr>
            <w:tcW w:w="907" w:type="pct"/>
            <w:gridSpan w:val="2"/>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起始坐标</w:t>
            </w:r>
          </w:p>
        </w:tc>
        <w:tc>
          <w:tcPr>
            <w:tcW w:w="907" w:type="pct"/>
            <w:gridSpan w:val="2"/>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终点坐标</w:t>
            </w:r>
          </w:p>
        </w:tc>
        <w:tc>
          <w:tcPr>
            <w:tcW w:w="267"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岸别</w:t>
            </w:r>
          </w:p>
        </w:tc>
        <w:tc>
          <w:tcPr>
            <w:tcW w:w="337"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河道长度（m)</w:t>
            </w:r>
          </w:p>
        </w:tc>
        <w:tc>
          <w:tcPr>
            <w:tcW w:w="438"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管理边界线长度（m）</w:t>
            </w:r>
          </w:p>
        </w:tc>
        <w:tc>
          <w:tcPr>
            <w:tcW w:w="764"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划分方法</w:t>
            </w:r>
          </w:p>
        </w:tc>
        <w:tc>
          <w:tcPr>
            <w:tcW w:w="618"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划分依据</w:t>
            </w:r>
          </w:p>
        </w:tc>
        <w:tc>
          <w:tcPr>
            <w:tcW w:w="529" w:type="pct"/>
            <w:vMerge w:val="restart"/>
            <w:shd w:val="clear" w:color="auto" w:fill="auto"/>
            <w:noWrap/>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trPr>
        <w:tc>
          <w:tcPr>
            <w:tcW w:w="233"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472"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X</w:t>
            </w:r>
          </w:p>
        </w:tc>
        <w:tc>
          <w:tcPr>
            <w:tcW w:w="435"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Y</w:t>
            </w:r>
          </w:p>
        </w:tc>
        <w:tc>
          <w:tcPr>
            <w:tcW w:w="472"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X</w:t>
            </w:r>
          </w:p>
        </w:tc>
        <w:tc>
          <w:tcPr>
            <w:tcW w:w="435"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Y</w:t>
            </w:r>
          </w:p>
        </w:tc>
        <w:tc>
          <w:tcPr>
            <w:tcW w:w="267"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337"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438"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764"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618"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529" w:type="pct"/>
            <w:vMerge w:val="continue"/>
            <w:shd w:val="clear" w:color="auto" w:fill="auto"/>
            <w:noWrap/>
            <w:vAlign w:val="center"/>
          </w:tcPr>
          <w:p>
            <w:pPr>
              <w:spacing w:line="240" w:lineRule="auto"/>
              <w:ind w:firstLine="0" w:firstLineChars="0"/>
              <w:jc w:val="center"/>
              <w:rPr>
                <w:rFonts w:cs="Times New Roman"/>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233"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哈拉沁水库库区段</w:t>
            </w: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4545099.63</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558055.48</w:t>
            </w: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4540843.71</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557980.18</w:t>
            </w:r>
          </w:p>
        </w:tc>
        <w:tc>
          <w:tcPr>
            <w:tcW w:w="267" w:type="pct"/>
            <w:shd w:val="clear" w:color="auto" w:fill="auto"/>
            <w:vAlign w:val="center"/>
          </w:tcPr>
          <w:p>
            <w:pPr>
              <w:pStyle w:val="64"/>
              <w:rPr>
                <w:rFonts w:eastAsia="宋体" w:cs="Times New Roman"/>
                <w:szCs w:val="21"/>
              </w:rPr>
            </w:pPr>
            <w:r>
              <w:rPr>
                <w:rFonts w:eastAsia="宋体" w:cs="Times New Roman"/>
                <w:szCs w:val="21"/>
              </w:rPr>
              <w:t>右岸</w:t>
            </w:r>
          </w:p>
        </w:tc>
        <w:tc>
          <w:tcPr>
            <w:tcW w:w="337" w:type="pct"/>
            <w:vMerge w:val="restart"/>
            <w:shd w:val="clear" w:color="auto" w:fill="auto"/>
            <w:noWrap/>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6482</w:t>
            </w:r>
          </w:p>
        </w:tc>
        <w:tc>
          <w:tcPr>
            <w:tcW w:w="438" w:type="pct"/>
            <w:shd w:val="clear" w:color="auto" w:fill="auto"/>
            <w:noWrap/>
            <w:vAlign w:val="center"/>
          </w:tcPr>
          <w:p>
            <w:pPr>
              <w:pStyle w:val="64"/>
              <w:rPr>
                <w:rFonts w:eastAsia="宋体" w:cs="Times New Roman"/>
                <w:szCs w:val="21"/>
              </w:rPr>
            </w:pPr>
            <w:r>
              <w:rPr>
                <w:rFonts w:eastAsia="宋体" w:cs="Times New Roman"/>
                <w:szCs w:val="21"/>
              </w:rPr>
              <w:t>5186</w:t>
            </w:r>
          </w:p>
        </w:tc>
        <w:tc>
          <w:tcPr>
            <w:tcW w:w="764" w:type="pct"/>
            <w:vMerge w:val="restart"/>
            <w:shd w:val="clear" w:color="auto" w:fill="auto"/>
            <w:vAlign w:val="center"/>
          </w:tcPr>
          <w:p>
            <w:pPr>
              <w:pStyle w:val="64"/>
              <w:rPr>
                <w:rFonts w:eastAsia="宋体" w:cs="Times New Roman"/>
                <w:szCs w:val="21"/>
              </w:rPr>
            </w:pPr>
            <w:r>
              <w:rPr>
                <w:rFonts w:eastAsia="宋体" w:cs="Times New Roman"/>
                <w:szCs w:val="21"/>
              </w:rPr>
              <w:t>库区管理范围为校核洪水位1452.82m以外50m，大坝坝肩以外300m，坝脚以下</w:t>
            </w:r>
            <w:r>
              <w:rPr>
                <w:rFonts w:hint="eastAsia" w:eastAsia="宋体" w:cs="Times New Roman"/>
                <w:szCs w:val="21"/>
              </w:rPr>
              <w:t>7</w:t>
            </w:r>
            <w:r>
              <w:rPr>
                <w:rFonts w:eastAsia="宋体" w:cs="Times New Roman"/>
                <w:szCs w:val="21"/>
              </w:rPr>
              <w:t>00m，附属建筑物外边缘以外200m。</w:t>
            </w:r>
          </w:p>
        </w:tc>
        <w:tc>
          <w:tcPr>
            <w:tcW w:w="618" w:type="pct"/>
            <w:vMerge w:val="restart"/>
            <w:shd w:val="clear" w:color="auto" w:fill="auto"/>
            <w:vAlign w:val="center"/>
          </w:tcPr>
          <w:p>
            <w:pPr>
              <w:spacing w:line="240" w:lineRule="auto"/>
              <w:ind w:firstLine="0" w:firstLineChars="0"/>
              <w:jc w:val="center"/>
              <w:rPr>
                <w:rFonts w:cs="Times New Roman"/>
                <w:color w:val="000000"/>
                <w:sz w:val="21"/>
                <w:szCs w:val="21"/>
              </w:rPr>
            </w:pPr>
            <w:r>
              <w:rPr>
                <w:rFonts w:cs="Times New Roman"/>
                <w:sz w:val="21"/>
                <w:szCs w:val="21"/>
              </w:rPr>
              <w:t>《内蒙古自治区水工程管理和保护范围划定标准》中的山区</w:t>
            </w:r>
            <w:r>
              <w:rPr>
                <w:rFonts w:hint="eastAsia" w:cs="Times New Roman"/>
                <w:sz w:val="21"/>
                <w:szCs w:val="21"/>
              </w:rPr>
              <w:t>大</w:t>
            </w:r>
            <w:r>
              <w:rPr>
                <w:rFonts w:cs="Times New Roman"/>
                <w:sz w:val="21"/>
                <w:szCs w:val="21"/>
              </w:rPr>
              <w:t>型水库水库管理范围为“库区为校核洪水位以外50m，大坝坝肩以外200~300m，坝脚以下700m，附属建筑物外边缘以外100~200m”。</w:t>
            </w:r>
          </w:p>
        </w:tc>
        <w:tc>
          <w:tcPr>
            <w:tcW w:w="529" w:type="pct"/>
            <w:vMerge w:val="restart"/>
            <w:shd w:val="clear" w:color="auto" w:fill="auto"/>
            <w:noWrap/>
            <w:vAlign w:val="center"/>
          </w:tcPr>
          <w:p>
            <w:pPr>
              <w:pStyle w:val="64"/>
              <w:rPr>
                <w:rFonts w:eastAsia="宋体" w:cs="Times New Roman"/>
                <w:szCs w:val="21"/>
              </w:rPr>
            </w:pPr>
            <w:r>
              <w:rPr>
                <w:rFonts w:hint="eastAsia" w:eastAsia="宋体" w:cs="Times New Roman"/>
                <w:szCs w:val="21"/>
              </w:rPr>
              <w:t>山区大</w:t>
            </w:r>
            <w:r>
              <w:rPr>
                <w:rFonts w:eastAsia="宋体" w:cs="Times New Roman"/>
                <w:szCs w:val="21"/>
              </w:rPr>
              <w:t>型水库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1" w:hRule="atLeast"/>
        </w:trPr>
        <w:tc>
          <w:tcPr>
            <w:tcW w:w="233" w:type="pct"/>
            <w:vMerge w:val="continue"/>
            <w:vAlign w:val="center"/>
          </w:tcPr>
          <w:p>
            <w:pPr>
              <w:spacing w:line="240" w:lineRule="auto"/>
              <w:ind w:firstLine="0" w:firstLineChars="0"/>
              <w:jc w:val="center"/>
              <w:rPr>
                <w:rFonts w:cs="Times New Roman"/>
                <w:b/>
                <w:bCs/>
                <w:color w:val="000000"/>
                <w:sz w:val="21"/>
                <w:szCs w:val="21"/>
              </w:rPr>
            </w:pP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4546040.69</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559550.72</w:t>
            </w: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4540629.28</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558040.39</w:t>
            </w:r>
          </w:p>
        </w:tc>
        <w:tc>
          <w:tcPr>
            <w:tcW w:w="267" w:type="pct"/>
            <w:shd w:val="clear" w:color="auto" w:fill="auto"/>
            <w:vAlign w:val="center"/>
          </w:tcPr>
          <w:p>
            <w:pPr>
              <w:pStyle w:val="64"/>
              <w:rPr>
                <w:rFonts w:eastAsia="宋体" w:cs="Times New Roman"/>
                <w:szCs w:val="21"/>
              </w:rPr>
            </w:pPr>
            <w:r>
              <w:rPr>
                <w:rFonts w:eastAsia="宋体" w:cs="Times New Roman"/>
                <w:szCs w:val="21"/>
              </w:rPr>
              <w:t>左岸</w:t>
            </w:r>
          </w:p>
        </w:tc>
        <w:tc>
          <w:tcPr>
            <w:tcW w:w="337" w:type="pct"/>
            <w:vMerge w:val="continue"/>
            <w:vAlign w:val="center"/>
          </w:tcPr>
          <w:p>
            <w:pPr>
              <w:spacing w:line="240" w:lineRule="auto"/>
              <w:ind w:firstLine="0" w:firstLineChars="0"/>
              <w:jc w:val="center"/>
              <w:rPr>
                <w:rFonts w:cs="Times New Roman"/>
                <w:color w:val="000000"/>
                <w:sz w:val="21"/>
                <w:szCs w:val="21"/>
              </w:rPr>
            </w:pPr>
          </w:p>
        </w:tc>
        <w:tc>
          <w:tcPr>
            <w:tcW w:w="438" w:type="pct"/>
            <w:shd w:val="clear" w:color="auto" w:fill="auto"/>
            <w:noWrap/>
            <w:vAlign w:val="center"/>
          </w:tcPr>
          <w:p>
            <w:pPr>
              <w:pStyle w:val="64"/>
              <w:rPr>
                <w:rFonts w:eastAsia="宋体" w:cs="Times New Roman"/>
                <w:szCs w:val="21"/>
              </w:rPr>
            </w:pPr>
            <w:r>
              <w:rPr>
                <w:rFonts w:hint="eastAsia" w:eastAsia="宋体" w:cs="Times New Roman"/>
                <w:szCs w:val="21"/>
              </w:rPr>
              <w:t>8</w:t>
            </w:r>
            <w:r>
              <w:rPr>
                <w:rFonts w:eastAsia="宋体" w:cs="Times New Roman"/>
                <w:szCs w:val="21"/>
              </w:rPr>
              <w:t>053</w:t>
            </w:r>
          </w:p>
        </w:tc>
        <w:tc>
          <w:tcPr>
            <w:tcW w:w="764" w:type="pct"/>
            <w:vMerge w:val="continue"/>
            <w:vAlign w:val="center"/>
          </w:tcPr>
          <w:p>
            <w:pPr>
              <w:spacing w:line="240" w:lineRule="auto"/>
              <w:ind w:firstLine="0" w:firstLineChars="0"/>
              <w:jc w:val="center"/>
              <w:rPr>
                <w:rFonts w:cs="Times New Roman"/>
                <w:color w:val="000000"/>
                <w:sz w:val="21"/>
                <w:szCs w:val="21"/>
              </w:rPr>
            </w:pPr>
          </w:p>
        </w:tc>
        <w:tc>
          <w:tcPr>
            <w:tcW w:w="618" w:type="pct"/>
            <w:vMerge w:val="continue"/>
            <w:vAlign w:val="center"/>
          </w:tcPr>
          <w:p>
            <w:pPr>
              <w:spacing w:line="240" w:lineRule="auto"/>
              <w:ind w:firstLine="0" w:firstLineChars="0"/>
              <w:jc w:val="center"/>
              <w:rPr>
                <w:rFonts w:cs="Times New Roman"/>
                <w:color w:val="000000"/>
                <w:sz w:val="21"/>
                <w:szCs w:val="21"/>
              </w:rPr>
            </w:pPr>
          </w:p>
        </w:tc>
        <w:tc>
          <w:tcPr>
            <w:tcW w:w="529" w:type="pct"/>
            <w:vMerge w:val="continue"/>
            <w:vAlign w:val="center"/>
          </w:tcPr>
          <w:p>
            <w:pPr>
              <w:spacing w:line="240" w:lineRule="auto"/>
              <w:ind w:firstLine="0" w:firstLineChars="0"/>
              <w:jc w:val="center"/>
              <w:rPr>
                <w:rFonts w:cs="Times New Roman"/>
                <w:color w:val="000000"/>
                <w:sz w:val="21"/>
                <w:szCs w:val="21"/>
              </w:rPr>
            </w:pPr>
          </w:p>
        </w:tc>
      </w:tr>
    </w:tbl>
    <w:p>
      <w:pPr>
        <w:ind w:firstLine="560"/>
      </w:pPr>
    </w:p>
    <w:p>
      <w:pPr>
        <w:ind w:firstLine="560"/>
        <w:sectPr>
          <w:headerReference r:id="rId17" w:type="default"/>
          <w:footerReference r:id="rId18" w:type="default"/>
          <w:pgSz w:w="16838" w:h="11906" w:orient="landscape"/>
          <w:pgMar w:top="1800" w:right="1440" w:bottom="1800" w:left="1440" w:header="851" w:footer="992" w:gutter="0"/>
          <w:cols w:space="425" w:num="1"/>
          <w:docGrid w:type="lines" w:linePitch="381" w:charSpace="0"/>
        </w:sectPr>
      </w:pPr>
    </w:p>
    <w:p>
      <w:pPr>
        <w:keepNext/>
        <w:keepLines/>
        <w:widowControl/>
        <w:spacing w:before="156" w:beforeLines="50" w:after="156" w:afterLines="50"/>
        <w:ind w:firstLine="0" w:firstLineChars="0"/>
        <w:outlineLvl w:val="1"/>
        <w:rPr>
          <w:rFonts w:cs="Times New Roman"/>
          <w:b/>
          <w:bCs/>
          <w:kern w:val="0"/>
          <w:sz w:val="30"/>
          <w:szCs w:val="26"/>
        </w:rPr>
      </w:pPr>
      <w:bookmarkStart w:id="9" w:name="_Toc60218851"/>
      <w:r>
        <w:rPr>
          <w:rFonts w:cs="Times New Roman"/>
          <w:b/>
          <w:bCs/>
          <w:kern w:val="0"/>
          <w:sz w:val="30"/>
          <w:szCs w:val="26"/>
        </w:rPr>
        <w:t xml:space="preserve">1.4 </w:t>
      </w:r>
      <w:r>
        <w:rPr>
          <w:rFonts w:hint="eastAsia" w:cs="Times New Roman"/>
          <w:b/>
          <w:bCs/>
          <w:kern w:val="0"/>
          <w:sz w:val="30"/>
          <w:szCs w:val="26"/>
        </w:rPr>
        <w:t>工作任务及范围</w:t>
      </w:r>
      <w:bookmarkEnd w:id="9"/>
    </w:p>
    <w:p>
      <w:pPr>
        <w:ind w:firstLine="560"/>
      </w:pPr>
      <w:r>
        <w:rPr>
          <w:rFonts w:hint="eastAsia"/>
        </w:rPr>
        <w:t>本次工作主要任务为划定哈拉沁水库管理范围和保护范围，明确以库区及坝区管理范围面积和保护范围，提供哈拉沁水库划界坐标值并将划定的成果上至厅水利一张图中。</w:t>
      </w:r>
    </w:p>
    <w:p>
      <w:pPr>
        <w:ind w:firstLine="560"/>
      </w:pPr>
    </w:p>
    <w:p>
      <w:pPr>
        <w:ind w:firstLine="560"/>
        <w:sectPr>
          <w:headerReference r:id="rId19" w:type="default"/>
          <w:footerReference r:id="rId20" w:type="default"/>
          <w:pgSz w:w="11906" w:h="16838"/>
          <w:pgMar w:top="1440" w:right="1800" w:bottom="1440" w:left="1800" w:header="851" w:footer="992" w:gutter="0"/>
          <w:cols w:space="425" w:num="1"/>
          <w:docGrid w:type="lines" w:linePitch="312" w:charSpace="0"/>
        </w:sectPr>
      </w:pPr>
    </w:p>
    <w:p>
      <w:pPr>
        <w:keepNext/>
        <w:keepLines/>
        <w:widowControl/>
        <w:spacing w:before="156" w:beforeLines="50" w:after="156" w:afterLines="50"/>
        <w:ind w:firstLine="0" w:firstLineChars="0"/>
        <w:jc w:val="center"/>
        <w:outlineLvl w:val="0"/>
        <w:rPr>
          <w:rFonts w:cs="Times New Roman"/>
          <w:b/>
          <w:bCs/>
          <w:kern w:val="0"/>
          <w:sz w:val="32"/>
          <w:szCs w:val="28"/>
        </w:rPr>
      </w:pPr>
      <w:bookmarkStart w:id="10" w:name="_Toc45266109"/>
      <w:bookmarkStart w:id="11" w:name="_Toc60218852"/>
      <w:bookmarkStart w:id="12" w:name="_Toc24798225"/>
      <w:bookmarkStart w:id="13" w:name="_Toc45266110"/>
      <w:bookmarkStart w:id="14" w:name="_Toc24798226"/>
      <w:r>
        <w:rPr>
          <w:rFonts w:hint="eastAsia" w:cs="Times New Roman"/>
          <w:b/>
          <w:bCs/>
          <w:kern w:val="0"/>
          <w:sz w:val="32"/>
          <w:szCs w:val="28"/>
        </w:rPr>
        <w:t>第二章  编制依据</w:t>
      </w:r>
      <w:bookmarkEnd w:id="10"/>
      <w:bookmarkEnd w:id="11"/>
      <w:bookmarkEnd w:id="12"/>
    </w:p>
    <w:bookmarkEnd w:id="13"/>
    <w:bookmarkEnd w:id="14"/>
    <w:p>
      <w:pPr>
        <w:keepNext/>
        <w:keepLines/>
        <w:widowControl/>
        <w:spacing w:before="156" w:beforeLines="50" w:after="156" w:afterLines="50"/>
        <w:ind w:firstLine="0" w:firstLineChars="0"/>
        <w:outlineLvl w:val="1"/>
        <w:rPr>
          <w:rFonts w:cs="Times New Roman"/>
          <w:b/>
          <w:bCs/>
          <w:kern w:val="0"/>
          <w:sz w:val="30"/>
          <w:szCs w:val="26"/>
        </w:rPr>
      </w:pPr>
      <w:bookmarkStart w:id="15" w:name="_Toc60218853"/>
      <w:r>
        <w:rPr>
          <w:rFonts w:cs="Times New Roman"/>
          <w:b/>
          <w:bCs/>
          <w:kern w:val="0"/>
          <w:sz w:val="30"/>
          <w:szCs w:val="26"/>
        </w:rPr>
        <w:t>2.1 法律法规</w:t>
      </w:r>
      <w:bookmarkEnd w:id="15"/>
    </w:p>
    <w:p>
      <w:pPr>
        <w:widowControl/>
        <w:ind w:firstLine="560"/>
        <w:rPr>
          <w:rFonts w:cs="Times New Roman"/>
          <w:kern w:val="0"/>
          <w:szCs w:val="28"/>
        </w:rPr>
      </w:pPr>
      <w:r>
        <w:rPr>
          <w:rFonts w:hint="eastAsia" w:cs="Times New Roman"/>
          <w:kern w:val="0"/>
          <w:szCs w:val="28"/>
        </w:rPr>
        <w:t>（</w:t>
      </w:r>
      <w:r>
        <w:rPr>
          <w:rFonts w:cs="Times New Roman"/>
          <w:kern w:val="0"/>
          <w:szCs w:val="28"/>
        </w:rPr>
        <w:t>1</w:t>
      </w:r>
      <w:r>
        <w:rPr>
          <w:rFonts w:hint="eastAsia" w:cs="Times New Roman"/>
          <w:kern w:val="0"/>
          <w:szCs w:val="28"/>
        </w:rPr>
        <w:t>）《中华人民共和国水法》，修订日期2016年7月2日，实施日期2016年7月2日；</w:t>
      </w:r>
    </w:p>
    <w:p>
      <w:pPr>
        <w:widowControl/>
        <w:ind w:firstLine="560"/>
        <w:rPr>
          <w:rFonts w:cs="Times New Roman"/>
          <w:kern w:val="0"/>
          <w:szCs w:val="28"/>
        </w:rPr>
      </w:pPr>
      <w:r>
        <w:rPr>
          <w:rFonts w:hint="eastAsia" w:cs="Times New Roman"/>
          <w:kern w:val="0"/>
          <w:szCs w:val="28"/>
        </w:rPr>
        <w:t>（2）《中华人民共和国防洪法》，修订日期2016年7月2日，实施日期2016年7月2日；</w:t>
      </w:r>
    </w:p>
    <w:p>
      <w:pPr>
        <w:widowControl/>
        <w:ind w:firstLine="560"/>
        <w:rPr>
          <w:rFonts w:cs="Times New Roman"/>
          <w:kern w:val="0"/>
          <w:szCs w:val="28"/>
        </w:rPr>
      </w:pPr>
      <w:r>
        <w:rPr>
          <w:rFonts w:hint="eastAsia" w:cs="Times New Roman"/>
          <w:kern w:val="0"/>
          <w:szCs w:val="28"/>
        </w:rPr>
        <w:t>（3）《中华人民共和国河道管理条例》，修订日期2017年10月7日，实施日期2018年3月19日；</w:t>
      </w:r>
    </w:p>
    <w:p>
      <w:pPr>
        <w:widowControl/>
        <w:ind w:firstLine="560"/>
      </w:pPr>
      <w:r>
        <w:rPr>
          <w:rFonts w:hint="eastAsia" w:cs="Times New Roman"/>
          <w:kern w:val="0"/>
          <w:szCs w:val="28"/>
        </w:rPr>
        <w:t>（4）</w:t>
      </w:r>
      <w:r>
        <w:rPr>
          <w:rFonts w:hint="eastAsia"/>
        </w:rPr>
        <w:t>《水库大坝安全管理条例》，发布及实施日期1991年3月22日，2</w:t>
      </w:r>
      <w:r>
        <w:t>018</w:t>
      </w:r>
      <w:r>
        <w:rPr>
          <w:rFonts w:hint="eastAsia"/>
        </w:rPr>
        <w:t>年修正；</w:t>
      </w:r>
    </w:p>
    <w:p>
      <w:pPr>
        <w:widowControl/>
        <w:ind w:firstLine="560"/>
        <w:rPr>
          <w:rFonts w:cs="Times New Roman"/>
          <w:kern w:val="0"/>
          <w:szCs w:val="28"/>
        </w:rPr>
      </w:pPr>
      <w:r>
        <w:rPr>
          <w:rFonts w:hint="eastAsia" w:cs="Times New Roman"/>
          <w:kern w:val="0"/>
          <w:szCs w:val="28"/>
        </w:rPr>
        <w:t>（5）《内蒙古自治区实施&lt;中华人民共和国防洪法&gt;办法》，颁布于2012年3月31日，实施日期2012年3月31日；</w:t>
      </w:r>
    </w:p>
    <w:p>
      <w:pPr>
        <w:widowControl/>
        <w:ind w:firstLine="560"/>
        <w:rPr>
          <w:rFonts w:cs="Times New Roman"/>
          <w:kern w:val="0"/>
          <w:szCs w:val="28"/>
        </w:rPr>
      </w:pPr>
      <w:r>
        <w:rPr>
          <w:rFonts w:hint="eastAsia" w:cs="Times New Roman"/>
          <w:kern w:val="0"/>
          <w:szCs w:val="28"/>
        </w:rPr>
        <w:t>（6）《内蒙古自治区水工程管理保护办法》，修订日期2012年3月31日；</w:t>
      </w:r>
    </w:p>
    <w:p>
      <w:pPr>
        <w:widowControl/>
        <w:ind w:firstLine="560"/>
        <w:rPr>
          <w:rFonts w:cs="Times New Roman"/>
          <w:kern w:val="0"/>
          <w:szCs w:val="28"/>
        </w:rPr>
      </w:pPr>
      <w:r>
        <w:rPr>
          <w:rFonts w:hint="eastAsia" w:cs="Times New Roman"/>
          <w:kern w:val="0"/>
          <w:szCs w:val="28"/>
        </w:rPr>
        <w:t>（7）《内蒙古自治区自然保护区实施办法》，发布于1998年11月25日，实施日期1998年11月25日；</w:t>
      </w:r>
    </w:p>
    <w:p>
      <w:pPr>
        <w:widowControl/>
        <w:ind w:firstLine="560"/>
        <w:rPr>
          <w:rFonts w:cs="Times New Roman"/>
          <w:kern w:val="0"/>
          <w:szCs w:val="28"/>
        </w:rPr>
      </w:pPr>
      <w:r>
        <w:rPr>
          <w:rFonts w:hint="eastAsia" w:cs="Times New Roman"/>
          <w:kern w:val="0"/>
          <w:szCs w:val="28"/>
        </w:rPr>
        <w:t>（8）其他现行的国家法律和法规。</w:t>
      </w:r>
    </w:p>
    <w:p>
      <w:pPr>
        <w:keepNext/>
        <w:keepLines/>
        <w:widowControl/>
        <w:spacing w:before="156" w:beforeLines="50" w:after="156" w:afterLines="50"/>
        <w:ind w:firstLine="0" w:firstLineChars="0"/>
        <w:outlineLvl w:val="1"/>
        <w:rPr>
          <w:rFonts w:cs="Times New Roman"/>
          <w:b/>
          <w:bCs/>
          <w:kern w:val="0"/>
          <w:sz w:val="30"/>
          <w:szCs w:val="26"/>
        </w:rPr>
      </w:pPr>
      <w:bookmarkStart w:id="16" w:name="_Toc24798227"/>
      <w:bookmarkStart w:id="17" w:name="_Toc60218854"/>
      <w:bookmarkStart w:id="18" w:name="_Toc45266111"/>
      <w:r>
        <w:rPr>
          <w:rFonts w:cs="Times New Roman"/>
          <w:b/>
          <w:bCs/>
          <w:kern w:val="0"/>
          <w:sz w:val="30"/>
          <w:szCs w:val="26"/>
        </w:rPr>
        <w:t>2.2 规范规程</w:t>
      </w:r>
      <w:bookmarkEnd w:id="16"/>
      <w:bookmarkEnd w:id="17"/>
      <w:bookmarkEnd w:id="18"/>
    </w:p>
    <w:p>
      <w:pPr>
        <w:widowControl/>
        <w:ind w:firstLine="560"/>
        <w:rPr>
          <w:rFonts w:cs="Times New Roman"/>
          <w:kern w:val="0"/>
          <w:szCs w:val="28"/>
        </w:rPr>
      </w:pPr>
      <w:r>
        <w:rPr>
          <w:rFonts w:hint="eastAsia" w:cs="Times New Roman"/>
          <w:kern w:val="0"/>
          <w:szCs w:val="28"/>
        </w:rPr>
        <w:t>（1）《防洪标准》（GB50201-2014）；</w:t>
      </w:r>
    </w:p>
    <w:p>
      <w:pPr>
        <w:widowControl/>
        <w:ind w:firstLine="560"/>
        <w:rPr>
          <w:rFonts w:cs="Times New Roman"/>
          <w:kern w:val="0"/>
          <w:szCs w:val="28"/>
        </w:rPr>
      </w:pPr>
      <w:r>
        <w:rPr>
          <w:rFonts w:hint="eastAsia" w:cs="Times New Roman"/>
          <w:kern w:val="0"/>
          <w:szCs w:val="28"/>
        </w:rPr>
        <w:t>（2）《水库工程管理设计规范》（SL103-2017）；</w:t>
      </w:r>
    </w:p>
    <w:p>
      <w:pPr>
        <w:widowControl/>
        <w:ind w:firstLine="560"/>
        <w:rPr>
          <w:rFonts w:cs="Times New Roman"/>
          <w:kern w:val="0"/>
          <w:szCs w:val="28"/>
        </w:rPr>
      </w:pPr>
      <w:r>
        <w:rPr>
          <w:rFonts w:hint="eastAsia" w:cs="Times New Roman"/>
          <w:kern w:val="0"/>
          <w:szCs w:val="28"/>
        </w:rPr>
        <w:t>（3）《水闸设计规范》（SL265-2016）；</w:t>
      </w:r>
    </w:p>
    <w:p>
      <w:pPr>
        <w:widowControl/>
        <w:ind w:firstLine="560"/>
        <w:rPr>
          <w:rFonts w:cs="Times New Roman"/>
          <w:kern w:val="0"/>
          <w:szCs w:val="28"/>
        </w:rPr>
      </w:pPr>
      <w:r>
        <w:rPr>
          <w:rFonts w:hint="eastAsia" w:cs="Times New Roman"/>
          <w:kern w:val="0"/>
          <w:szCs w:val="28"/>
        </w:rPr>
        <w:t>（4）《水闸技术管理规程》（SL75-2014）；</w:t>
      </w:r>
    </w:p>
    <w:p>
      <w:pPr>
        <w:widowControl/>
        <w:ind w:firstLine="560"/>
        <w:rPr>
          <w:rFonts w:cs="Times New Roman"/>
          <w:kern w:val="0"/>
          <w:szCs w:val="28"/>
        </w:rPr>
      </w:pPr>
      <w:r>
        <w:rPr>
          <w:rFonts w:hint="eastAsia" w:cs="Times New Roman"/>
          <w:kern w:val="0"/>
          <w:szCs w:val="28"/>
        </w:rPr>
        <w:t>（5）《水利水电工程等级划分及洪水标准》（SL252-2017）；</w:t>
      </w:r>
    </w:p>
    <w:p>
      <w:pPr>
        <w:widowControl/>
        <w:ind w:firstLine="560"/>
        <w:rPr>
          <w:rFonts w:cs="Times New Roman"/>
          <w:kern w:val="0"/>
          <w:szCs w:val="28"/>
        </w:rPr>
      </w:pPr>
      <w:r>
        <w:rPr>
          <w:rFonts w:hint="eastAsia" w:cs="Times New Roman"/>
          <w:kern w:val="0"/>
          <w:szCs w:val="28"/>
        </w:rPr>
        <w:t>（6）《总图制图标准》（GB/T50103-2010）；</w:t>
      </w:r>
    </w:p>
    <w:p>
      <w:pPr>
        <w:widowControl/>
        <w:ind w:firstLine="560"/>
        <w:rPr>
          <w:rFonts w:cs="Times New Roman"/>
          <w:kern w:val="0"/>
          <w:szCs w:val="28"/>
        </w:rPr>
      </w:pPr>
      <w:r>
        <w:rPr>
          <w:rFonts w:hint="eastAsia" w:cs="Times New Roman"/>
          <w:kern w:val="0"/>
          <w:szCs w:val="28"/>
        </w:rPr>
        <w:t>（7）《内蒙古自治区水利工程管理和保护范围划定标准》，发布于2013年4月20日，实施日期2013年4月20日；</w:t>
      </w:r>
    </w:p>
    <w:p>
      <w:pPr>
        <w:widowControl/>
        <w:ind w:firstLine="560"/>
        <w:rPr>
          <w:rFonts w:cs="Times New Roman"/>
          <w:kern w:val="0"/>
          <w:szCs w:val="28"/>
        </w:rPr>
      </w:pPr>
      <w:r>
        <w:rPr>
          <w:rFonts w:hint="eastAsia" w:cs="Times New Roman"/>
          <w:kern w:val="0"/>
          <w:szCs w:val="28"/>
        </w:rPr>
        <w:t>（8）国家及行业颁布的其他有关现行规范、规程、标准等。</w:t>
      </w:r>
    </w:p>
    <w:p>
      <w:pPr>
        <w:keepNext/>
        <w:keepLines/>
        <w:widowControl/>
        <w:spacing w:before="156" w:beforeLines="50" w:after="156" w:afterLines="50"/>
        <w:ind w:firstLine="0" w:firstLineChars="0"/>
        <w:outlineLvl w:val="1"/>
        <w:rPr>
          <w:rFonts w:cs="Times New Roman"/>
          <w:b/>
          <w:bCs/>
          <w:kern w:val="0"/>
          <w:sz w:val="30"/>
          <w:szCs w:val="26"/>
        </w:rPr>
      </w:pPr>
      <w:bookmarkStart w:id="19" w:name="_Toc45266112"/>
      <w:bookmarkStart w:id="20" w:name="_Toc24798228"/>
      <w:bookmarkStart w:id="21" w:name="_Toc60218855"/>
      <w:r>
        <w:rPr>
          <w:rFonts w:cs="Times New Roman"/>
          <w:b/>
          <w:bCs/>
          <w:kern w:val="0"/>
          <w:sz w:val="30"/>
          <w:szCs w:val="26"/>
        </w:rPr>
        <w:t xml:space="preserve">2.3 </w:t>
      </w:r>
      <w:r>
        <w:rPr>
          <w:rFonts w:hint="eastAsia" w:cs="Times New Roman"/>
          <w:b/>
          <w:bCs/>
          <w:kern w:val="0"/>
          <w:sz w:val="30"/>
          <w:szCs w:val="26"/>
        </w:rPr>
        <w:t>相关</w:t>
      </w:r>
      <w:r>
        <w:rPr>
          <w:rFonts w:cs="Times New Roman"/>
          <w:b/>
          <w:bCs/>
          <w:kern w:val="0"/>
          <w:sz w:val="30"/>
          <w:szCs w:val="26"/>
        </w:rPr>
        <w:t>文件</w:t>
      </w:r>
      <w:bookmarkEnd w:id="19"/>
      <w:bookmarkEnd w:id="20"/>
      <w:bookmarkEnd w:id="21"/>
    </w:p>
    <w:p>
      <w:pPr>
        <w:widowControl/>
        <w:ind w:firstLine="560"/>
        <w:rPr>
          <w:rFonts w:cs="Times New Roman"/>
          <w:kern w:val="0"/>
          <w:szCs w:val="28"/>
        </w:rPr>
      </w:pPr>
      <w:r>
        <w:rPr>
          <w:rFonts w:hint="eastAsia" w:cs="Times New Roman"/>
          <w:kern w:val="0"/>
          <w:szCs w:val="28"/>
        </w:rPr>
        <w:t>（1）《中共</w:t>
      </w:r>
      <w:r>
        <w:rPr>
          <w:rFonts w:cs="Times New Roman"/>
          <w:kern w:val="0"/>
          <w:szCs w:val="28"/>
        </w:rPr>
        <w:t>中央办公厅</w:t>
      </w:r>
      <w:r>
        <w:rPr>
          <w:rFonts w:hint="eastAsia" w:cs="Times New Roman"/>
          <w:kern w:val="0"/>
          <w:szCs w:val="28"/>
        </w:rPr>
        <w:t xml:space="preserve"> 国务院</w:t>
      </w:r>
      <w:r>
        <w:rPr>
          <w:rFonts w:cs="Times New Roman"/>
          <w:kern w:val="0"/>
          <w:szCs w:val="28"/>
        </w:rPr>
        <w:t>办公厅印发</w:t>
      </w:r>
      <w:r>
        <w:rPr>
          <w:rFonts w:hint="eastAsia" w:cs="Times New Roman"/>
          <w:kern w:val="0"/>
          <w:szCs w:val="28"/>
        </w:rPr>
        <w:t>&lt;关于</w:t>
      </w:r>
      <w:r>
        <w:rPr>
          <w:rFonts w:cs="Times New Roman"/>
          <w:kern w:val="0"/>
          <w:szCs w:val="28"/>
        </w:rPr>
        <w:t>全面推行河长制的意见</w:t>
      </w:r>
      <w:r>
        <w:rPr>
          <w:rFonts w:hint="eastAsia" w:cs="Times New Roman"/>
          <w:kern w:val="0"/>
          <w:szCs w:val="28"/>
        </w:rPr>
        <w:t>&gt;的</w:t>
      </w:r>
      <w:r>
        <w:rPr>
          <w:rFonts w:cs="Times New Roman"/>
          <w:kern w:val="0"/>
          <w:szCs w:val="28"/>
        </w:rPr>
        <w:t>通知</w:t>
      </w:r>
      <w:r>
        <w:rPr>
          <w:rFonts w:hint="eastAsia" w:cs="Times New Roman"/>
          <w:kern w:val="0"/>
          <w:szCs w:val="28"/>
        </w:rPr>
        <w:t>》</w:t>
      </w:r>
      <w:r>
        <w:rPr>
          <w:rFonts w:cs="Times New Roman"/>
          <w:kern w:val="0"/>
          <w:szCs w:val="28"/>
        </w:rPr>
        <w:t>（</w:t>
      </w:r>
      <w:r>
        <w:rPr>
          <w:rFonts w:hint="eastAsia" w:cs="Times New Roman"/>
          <w:kern w:val="0"/>
          <w:szCs w:val="28"/>
        </w:rPr>
        <w:t>厅</w:t>
      </w:r>
      <w:r>
        <w:rPr>
          <w:rFonts w:cs="Times New Roman"/>
          <w:kern w:val="0"/>
          <w:szCs w:val="28"/>
        </w:rPr>
        <w:t>字</w:t>
      </w:r>
      <w:r>
        <w:rPr>
          <w:rFonts w:hint="eastAsia" w:ascii="宋体" w:hAnsi="宋体" w:cs="Times New Roman"/>
          <w:kern w:val="0"/>
          <w:szCs w:val="28"/>
        </w:rPr>
        <w:t>〔</w:t>
      </w:r>
      <w:r>
        <w:rPr>
          <w:rFonts w:hint="eastAsia" w:cs="Times New Roman"/>
          <w:kern w:val="0"/>
          <w:szCs w:val="28"/>
        </w:rPr>
        <w:t>2016</w:t>
      </w:r>
      <w:r>
        <w:rPr>
          <w:rFonts w:hint="eastAsia" w:ascii="宋体" w:hAnsi="宋体" w:cs="Times New Roman"/>
          <w:kern w:val="0"/>
          <w:szCs w:val="28"/>
        </w:rPr>
        <w:t>〕</w:t>
      </w:r>
      <w:r>
        <w:rPr>
          <w:rFonts w:hint="eastAsia" w:cs="Times New Roman"/>
          <w:kern w:val="0"/>
          <w:szCs w:val="28"/>
        </w:rPr>
        <w:t>42号</w:t>
      </w:r>
      <w:r>
        <w:rPr>
          <w:rFonts w:cs="Times New Roman"/>
          <w:kern w:val="0"/>
          <w:szCs w:val="28"/>
        </w:rPr>
        <w:t>）</w:t>
      </w:r>
      <w:r>
        <w:rPr>
          <w:rFonts w:hint="eastAsia" w:cs="Times New Roman"/>
          <w:kern w:val="0"/>
          <w:szCs w:val="28"/>
        </w:rPr>
        <w:t>；</w:t>
      </w:r>
    </w:p>
    <w:p>
      <w:pPr>
        <w:widowControl/>
        <w:ind w:firstLine="560"/>
        <w:rPr>
          <w:rFonts w:cs="Times New Roman"/>
          <w:kern w:val="0"/>
          <w:szCs w:val="28"/>
        </w:rPr>
      </w:pPr>
      <w:r>
        <w:rPr>
          <w:rFonts w:hint="eastAsia" w:cs="Times New Roman"/>
          <w:kern w:val="0"/>
          <w:szCs w:val="28"/>
        </w:rPr>
        <w:t>（2）《中共</w:t>
      </w:r>
      <w:r>
        <w:rPr>
          <w:rFonts w:cs="Times New Roman"/>
          <w:kern w:val="0"/>
          <w:szCs w:val="28"/>
        </w:rPr>
        <w:t>中央办公厅</w:t>
      </w:r>
      <w:r>
        <w:rPr>
          <w:rFonts w:hint="eastAsia" w:cs="Times New Roman"/>
          <w:kern w:val="0"/>
          <w:szCs w:val="28"/>
        </w:rPr>
        <w:t xml:space="preserve"> 国务院</w:t>
      </w:r>
      <w:r>
        <w:rPr>
          <w:rFonts w:cs="Times New Roman"/>
          <w:kern w:val="0"/>
          <w:szCs w:val="28"/>
        </w:rPr>
        <w:t>办公厅印发</w:t>
      </w:r>
      <w:r>
        <w:rPr>
          <w:rFonts w:hint="eastAsia" w:cs="Times New Roman"/>
          <w:kern w:val="0"/>
          <w:szCs w:val="28"/>
        </w:rPr>
        <w:t>&lt;</w:t>
      </w:r>
      <w:r>
        <w:rPr>
          <w:rFonts w:cs="Times New Roman"/>
          <w:kern w:val="0"/>
          <w:szCs w:val="28"/>
        </w:rPr>
        <w:t>关于在湖泊实施湖长制的指导意见</w:t>
      </w:r>
      <w:r>
        <w:rPr>
          <w:rFonts w:hint="eastAsia" w:cs="Times New Roman"/>
          <w:kern w:val="0"/>
          <w:szCs w:val="28"/>
        </w:rPr>
        <w:t>&gt;的</w:t>
      </w:r>
      <w:r>
        <w:rPr>
          <w:rFonts w:cs="Times New Roman"/>
          <w:kern w:val="0"/>
          <w:szCs w:val="28"/>
        </w:rPr>
        <w:t>通知</w:t>
      </w:r>
      <w:r>
        <w:rPr>
          <w:rFonts w:hint="eastAsia" w:cs="Times New Roman"/>
          <w:kern w:val="0"/>
          <w:szCs w:val="28"/>
        </w:rPr>
        <w:t>》</w:t>
      </w:r>
      <w:r>
        <w:rPr>
          <w:rFonts w:cs="Times New Roman"/>
          <w:kern w:val="0"/>
          <w:szCs w:val="28"/>
        </w:rPr>
        <w:t>（</w:t>
      </w:r>
      <w:r>
        <w:rPr>
          <w:rFonts w:hint="eastAsia" w:cs="Times New Roman"/>
          <w:kern w:val="0"/>
          <w:szCs w:val="28"/>
        </w:rPr>
        <w:t>厅</w:t>
      </w:r>
      <w:r>
        <w:rPr>
          <w:rFonts w:cs="Times New Roman"/>
          <w:kern w:val="0"/>
          <w:szCs w:val="28"/>
        </w:rPr>
        <w:t>字</w:t>
      </w:r>
      <w:r>
        <w:rPr>
          <w:rFonts w:hint="eastAsia" w:ascii="宋体" w:hAnsi="宋体" w:cs="Times New Roman"/>
          <w:kern w:val="0"/>
          <w:szCs w:val="28"/>
        </w:rPr>
        <w:t>〔</w:t>
      </w:r>
      <w:r>
        <w:rPr>
          <w:rFonts w:hint="eastAsia" w:cs="Times New Roman"/>
          <w:kern w:val="0"/>
          <w:szCs w:val="28"/>
        </w:rPr>
        <w:t>201</w:t>
      </w:r>
      <w:r>
        <w:rPr>
          <w:rFonts w:cs="Times New Roman"/>
          <w:kern w:val="0"/>
          <w:szCs w:val="28"/>
        </w:rPr>
        <w:t>7</w:t>
      </w:r>
      <w:r>
        <w:rPr>
          <w:rFonts w:hint="eastAsia" w:ascii="宋体" w:hAnsi="宋体" w:cs="Times New Roman"/>
          <w:kern w:val="0"/>
          <w:szCs w:val="28"/>
        </w:rPr>
        <w:t>〕</w:t>
      </w:r>
      <w:r>
        <w:rPr>
          <w:rFonts w:cs="Times New Roman"/>
          <w:kern w:val="0"/>
          <w:szCs w:val="28"/>
        </w:rPr>
        <w:t>51</w:t>
      </w:r>
      <w:r>
        <w:rPr>
          <w:rFonts w:hint="eastAsia" w:cs="Times New Roman"/>
          <w:kern w:val="0"/>
          <w:szCs w:val="28"/>
        </w:rPr>
        <w:t>号</w:t>
      </w:r>
      <w:r>
        <w:rPr>
          <w:rFonts w:cs="Times New Roman"/>
          <w:kern w:val="0"/>
          <w:szCs w:val="28"/>
        </w:rPr>
        <w:t>）</w:t>
      </w:r>
      <w:r>
        <w:rPr>
          <w:rFonts w:hint="eastAsia" w:cs="Times New Roman"/>
          <w:kern w:val="0"/>
          <w:szCs w:val="28"/>
        </w:rPr>
        <w:t>；</w:t>
      </w:r>
    </w:p>
    <w:p>
      <w:pPr>
        <w:widowControl/>
        <w:ind w:firstLine="560"/>
        <w:rPr>
          <w:rFonts w:cs="Times New Roman"/>
          <w:kern w:val="0"/>
          <w:szCs w:val="28"/>
        </w:rPr>
      </w:pPr>
      <w:r>
        <w:rPr>
          <w:rFonts w:hint="eastAsia" w:cs="Times New Roman"/>
          <w:kern w:val="0"/>
          <w:szCs w:val="28"/>
        </w:rPr>
        <w:t>（3）</w:t>
      </w:r>
      <w:r>
        <w:rPr>
          <w:rFonts w:cs="Times New Roman"/>
          <w:kern w:val="0"/>
          <w:szCs w:val="28"/>
        </w:rPr>
        <w:t>《水利部关于开展河湖管理范围和水利工程与保护范围划定的通知》（水建管〔2014〕285号）；</w:t>
      </w:r>
    </w:p>
    <w:p>
      <w:pPr>
        <w:widowControl/>
        <w:ind w:firstLine="560"/>
        <w:rPr>
          <w:rFonts w:cs="Times New Roman"/>
          <w:kern w:val="0"/>
          <w:szCs w:val="28"/>
        </w:rPr>
      </w:pPr>
      <w:r>
        <w:rPr>
          <w:rFonts w:hint="eastAsia" w:cs="Times New Roman"/>
          <w:kern w:val="0"/>
          <w:szCs w:val="28"/>
        </w:rPr>
        <w:t>（4）</w:t>
      </w:r>
      <w:r>
        <w:rPr>
          <w:rFonts w:cs="Times New Roman"/>
          <w:kern w:val="0"/>
          <w:szCs w:val="28"/>
        </w:rPr>
        <w:t>《水利部印发关于推进河长制从“</w:t>
      </w:r>
      <w:r>
        <w:rPr>
          <w:rFonts w:hint="eastAsia" w:cs="Times New Roman"/>
          <w:kern w:val="0"/>
          <w:szCs w:val="28"/>
        </w:rPr>
        <w:t>有名</w:t>
      </w:r>
      <w:r>
        <w:rPr>
          <w:rFonts w:cs="Times New Roman"/>
          <w:kern w:val="0"/>
          <w:szCs w:val="28"/>
        </w:rPr>
        <w:t>”</w:t>
      </w:r>
      <w:r>
        <w:rPr>
          <w:rFonts w:hint="eastAsia" w:cs="Times New Roman"/>
          <w:kern w:val="0"/>
          <w:szCs w:val="28"/>
        </w:rPr>
        <w:t>到</w:t>
      </w:r>
      <w:r>
        <w:rPr>
          <w:rFonts w:cs="Times New Roman"/>
          <w:kern w:val="0"/>
          <w:szCs w:val="28"/>
        </w:rPr>
        <w:t>“</w:t>
      </w:r>
      <w:r>
        <w:rPr>
          <w:rFonts w:hint="eastAsia" w:cs="Times New Roman"/>
          <w:kern w:val="0"/>
          <w:szCs w:val="28"/>
        </w:rPr>
        <w:t>有实</w:t>
      </w:r>
      <w:r>
        <w:rPr>
          <w:rFonts w:cs="Times New Roman"/>
          <w:kern w:val="0"/>
          <w:szCs w:val="28"/>
        </w:rPr>
        <w:t>”</w:t>
      </w:r>
      <w:r>
        <w:rPr>
          <w:rFonts w:hint="eastAsia" w:cs="Times New Roman"/>
          <w:kern w:val="0"/>
          <w:szCs w:val="28"/>
        </w:rPr>
        <w:t>的</w:t>
      </w:r>
      <w:r>
        <w:rPr>
          <w:rFonts w:cs="Times New Roman"/>
          <w:kern w:val="0"/>
          <w:szCs w:val="28"/>
        </w:rPr>
        <w:t>实施意见的通知》</w:t>
      </w:r>
      <w:r>
        <w:rPr>
          <w:rFonts w:hint="eastAsia" w:cs="Times New Roman"/>
          <w:kern w:val="0"/>
          <w:szCs w:val="28"/>
        </w:rPr>
        <w:t>（水河湖</w:t>
      </w:r>
      <w:r>
        <w:rPr>
          <w:rFonts w:cs="Times New Roman"/>
          <w:kern w:val="0"/>
          <w:szCs w:val="28"/>
        </w:rPr>
        <w:t>〔2018〕243号</w:t>
      </w:r>
      <w:r>
        <w:rPr>
          <w:rFonts w:hint="eastAsia" w:cs="Times New Roman"/>
          <w:kern w:val="0"/>
          <w:szCs w:val="28"/>
        </w:rPr>
        <w:t>）；</w:t>
      </w:r>
    </w:p>
    <w:p>
      <w:pPr>
        <w:widowControl/>
        <w:ind w:firstLine="560"/>
        <w:rPr>
          <w:rFonts w:cs="Times New Roman"/>
          <w:kern w:val="0"/>
          <w:szCs w:val="28"/>
        </w:rPr>
      </w:pPr>
      <w:r>
        <w:rPr>
          <w:rFonts w:hint="eastAsia" w:cs="Times New Roman"/>
          <w:kern w:val="0"/>
          <w:szCs w:val="28"/>
        </w:rPr>
        <w:t>（5）</w:t>
      </w:r>
      <w:r>
        <w:rPr>
          <w:rFonts w:cs="Times New Roman"/>
          <w:kern w:val="0"/>
          <w:szCs w:val="28"/>
        </w:rPr>
        <w:t>《水利部关于加快推进河湖管理范围划定工作的通知》（水河湖〔2018〕314号）；</w:t>
      </w:r>
    </w:p>
    <w:p>
      <w:pPr>
        <w:widowControl/>
        <w:ind w:firstLine="560"/>
        <w:rPr>
          <w:rFonts w:cs="Times New Roman"/>
          <w:kern w:val="0"/>
          <w:szCs w:val="28"/>
        </w:rPr>
      </w:pPr>
      <w:r>
        <w:rPr>
          <w:rFonts w:hint="eastAsia" w:cs="Times New Roman"/>
          <w:kern w:val="0"/>
          <w:szCs w:val="28"/>
        </w:rPr>
        <w:t>（6）</w:t>
      </w:r>
      <w:r>
        <w:rPr>
          <w:rFonts w:cs="Times New Roman"/>
          <w:kern w:val="0"/>
          <w:szCs w:val="28"/>
        </w:rPr>
        <w:t>《水利部办公厅关于印发河湖岸线保护与利用规划编制指南（试行）的通知》（办河湖函〔2019〕394号）；</w:t>
      </w:r>
    </w:p>
    <w:p>
      <w:pPr>
        <w:widowControl/>
        <w:ind w:firstLine="560"/>
        <w:rPr>
          <w:rFonts w:cs="Times New Roman"/>
          <w:kern w:val="0"/>
          <w:szCs w:val="28"/>
        </w:rPr>
      </w:pPr>
      <w:r>
        <w:rPr>
          <w:rFonts w:hint="eastAsia" w:cs="Times New Roman"/>
          <w:kern w:val="0"/>
          <w:szCs w:val="28"/>
        </w:rPr>
        <w:t>（7）</w:t>
      </w:r>
      <w:r>
        <w:rPr>
          <w:rFonts w:cs="Times New Roman"/>
          <w:kern w:val="0"/>
          <w:szCs w:val="28"/>
        </w:rPr>
        <w:t>《河湖岸线保护与利用规划编制指南（试行）》（水利部水利水电规划设计总院，2019年3月）；</w:t>
      </w:r>
    </w:p>
    <w:p>
      <w:pPr>
        <w:widowControl/>
        <w:ind w:firstLine="560"/>
        <w:rPr>
          <w:rFonts w:cs="Times New Roman"/>
          <w:kern w:val="0"/>
          <w:szCs w:val="28"/>
        </w:rPr>
      </w:pPr>
      <w:r>
        <w:rPr>
          <w:rFonts w:hint="eastAsia" w:cs="Times New Roman"/>
          <w:kern w:val="0"/>
          <w:szCs w:val="28"/>
        </w:rPr>
        <w:t>（8）《水利部关于开展河湖管理范围和水利工程管理与保护范围划定工作的通知》（水建管</w:t>
      </w:r>
      <w:r>
        <w:rPr>
          <w:rFonts w:hint="eastAsia" w:ascii="仿宋" w:hAnsi="仿宋" w:eastAsia="仿宋" w:cs="Times New Roman"/>
          <w:kern w:val="0"/>
          <w:szCs w:val="28"/>
        </w:rPr>
        <w:t>〔</w:t>
      </w:r>
      <w:r>
        <w:rPr>
          <w:rFonts w:hint="eastAsia" w:cs="Times New Roman"/>
          <w:kern w:val="0"/>
          <w:szCs w:val="28"/>
        </w:rPr>
        <w:t>2014</w:t>
      </w:r>
      <w:r>
        <w:rPr>
          <w:rFonts w:hint="eastAsia" w:ascii="仿宋" w:hAnsi="仿宋" w:eastAsia="仿宋" w:cs="Times New Roman"/>
          <w:kern w:val="0"/>
          <w:szCs w:val="28"/>
        </w:rPr>
        <w:t>〕</w:t>
      </w:r>
      <w:r>
        <w:rPr>
          <w:rFonts w:hint="eastAsia" w:cs="Times New Roman"/>
          <w:kern w:val="0"/>
          <w:szCs w:val="28"/>
        </w:rPr>
        <w:t>285号）；</w:t>
      </w:r>
    </w:p>
    <w:p>
      <w:pPr>
        <w:widowControl/>
        <w:ind w:firstLine="560"/>
        <w:rPr>
          <w:rFonts w:cs="Times New Roman"/>
          <w:kern w:val="0"/>
          <w:szCs w:val="28"/>
        </w:rPr>
      </w:pPr>
      <w:r>
        <w:rPr>
          <w:rFonts w:hint="eastAsia" w:cs="Times New Roman"/>
          <w:kern w:val="0"/>
          <w:szCs w:val="28"/>
        </w:rPr>
        <w:t>（9）《水利部关于加快推进水利工程管理与保护范围划定工作的通知》（水运管</w:t>
      </w:r>
      <w:r>
        <w:rPr>
          <w:rFonts w:hint="eastAsia" w:ascii="仿宋" w:hAnsi="仿宋" w:eastAsia="仿宋" w:cs="Times New Roman"/>
          <w:kern w:val="0"/>
          <w:szCs w:val="28"/>
        </w:rPr>
        <w:t>〔</w:t>
      </w:r>
      <w:r>
        <w:rPr>
          <w:rFonts w:hint="eastAsia" w:cs="Times New Roman"/>
          <w:kern w:val="0"/>
          <w:szCs w:val="28"/>
        </w:rPr>
        <w:t>2018</w:t>
      </w:r>
      <w:r>
        <w:rPr>
          <w:rFonts w:hint="eastAsia" w:ascii="仿宋" w:hAnsi="仿宋" w:eastAsia="仿宋" w:cs="Times New Roman"/>
          <w:kern w:val="0"/>
          <w:szCs w:val="28"/>
        </w:rPr>
        <w:t>〕</w:t>
      </w:r>
      <w:r>
        <w:rPr>
          <w:rFonts w:hint="eastAsia" w:cs="Times New Roman"/>
          <w:kern w:val="0"/>
          <w:szCs w:val="28"/>
        </w:rPr>
        <w:t>339号）；</w:t>
      </w:r>
    </w:p>
    <w:p>
      <w:pPr>
        <w:widowControl/>
        <w:ind w:firstLine="560"/>
        <w:rPr>
          <w:rFonts w:cs="Times New Roman"/>
          <w:kern w:val="0"/>
          <w:szCs w:val="28"/>
        </w:rPr>
      </w:pPr>
      <w:r>
        <w:rPr>
          <w:rFonts w:hint="eastAsia" w:cs="Times New Roman"/>
          <w:kern w:val="0"/>
          <w:szCs w:val="28"/>
        </w:rPr>
        <w:t>（1</w:t>
      </w:r>
      <w:r>
        <w:rPr>
          <w:rFonts w:cs="Times New Roman"/>
          <w:kern w:val="0"/>
          <w:szCs w:val="28"/>
        </w:rPr>
        <w:t>0</w:t>
      </w:r>
      <w:r>
        <w:rPr>
          <w:rFonts w:hint="eastAsia" w:cs="Times New Roman"/>
          <w:kern w:val="0"/>
          <w:szCs w:val="28"/>
        </w:rPr>
        <w:t>）</w:t>
      </w:r>
      <w:r>
        <w:rPr>
          <w:rFonts w:cs="Times New Roman"/>
          <w:kern w:val="0"/>
          <w:szCs w:val="28"/>
        </w:rPr>
        <w:t>《内蒙古自治区水利厅关于转发&lt;水利部关于加快推进河湖管理范围划定工作的通知&gt;的通知》（内河湖</w:t>
      </w:r>
      <w:r>
        <w:rPr>
          <w:rFonts w:ascii="宋体" w:hAnsi="宋体" w:cs="Times New Roman"/>
          <w:kern w:val="0"/>
          <w:szCs w:val="28"/>
        </w:rPr>
        <w:t>〔</w:t>
      </w:r>
      <w:r>
        <w:rPr>
          <w:rFonts w:cs="Times New Roman"/>
          <w:kern w:val="0"/>
          <w:szCs w:val="28"/>
        </w:rPr>
        <w:t>2019</w:t>
      </w:r>
      <w:r>
        <w:rPr>
          <w:rFonts w:ascii="宋体" w:hAnsi="宋体" w:cs="Times New Roman"/>
          <w:kern w:val="0"/>
          <w:szCs w:val="28"/>
        </w:rPr>
        <w:t>〕</w:t>
      </w:r>
      <w:r>
        <w:rPr>
          <w:rFonts w:cs="Times New Roman"/>
          <w:kern w:val="0"/>
          <w:szCs w:val="28"/>
        </w:rPr>
        <w:t>4号）；</w:t>
      </w:r>
    </w:p>
    <w:p>
      <w:pPr>
        <w:widowControl/>
        <w:ind w:firstLine="560"/>
        <w:rPr>
          <w:rFonts w:cs="Times New Roman"/>
          <w:kern w:val="0"/>
          <w:szCs w:val="28"/>
        </w:rPr>
      </w:pPr>
      <w:r>
        <w:rPr>
          <w:rFonts w:hint="eastAsia" w:cs="Times New Roman"/>
          <w:kern w:val="0"/>
          <w:szCs w:val="28"/>
        </w:rPr>
        <w:t>（1</w:t>
      </w:r>
      <w:r>
        <w:rPr>
          <w:rFonts w:cs="Times New Roman"/>
          <w:kern w:val="0"/>
          <w:szCs w:val="28"/>
        </w:rPr>
        <w:t>1</w:t>
      </w:r>
      <w:r>
        <w:rPr>
          <w:rFonts w:hint="eastAsia" w:cs="Times New Roman"/>
          <w:kern w:val="0"/>
          <w:szCs w:val="28"/>
        </w:rPr>
        <w:t>）</w:t>
      </w:r>
      <w:r>
        <w:rPr>
          <w:rFonts w:cs="Times New Roman"/>
          <w:kern w:val="0"/>
          <w:szCs w:val="28"/>
        </w:rPr>
        <w:t>《内蒙古自治区水利厅关于进一步做好河湖管理范围划定工作的通知》（内河湖〔2019〕18号）；</w:t>
      </w:r>
    </w:p>
    <w:p>
      <w:pPr>
        <w:widowControl/>
        <w:ind w:firstLine="560"/>
        <w:rPr>
          <w:rFonts w:cs="Times New Roman"/>
          <w:kern w:val="0"/>
          <w:szCs w:val="28"/>
        </w:rPr>
      </w:pPr>
      <w:r>
        <w:rPr>
          <w:rFonts w:hint="eastAsia" w:cs="Times New Roman"/>
          <w:kern w:val="0"/>
          <w:szCs w:val="28"/>
        </w:rPr>
        <w:t>（1</w:t>
      </w:r>
      <w:r>
        <w:rPr>
          <w:rFonts w:cs="Times New Roman"/>
          <w:kern w:val="0"/>
          <w:szCs w:val="28"/>
        </w:rPr>
        <w:t>2</w:t>
      </w:r>
      <w:r>
        <w:rPr>
          <w:rFonts w:hint="eastAsia" w:cs="Times New Roman"/>
          <w:kern w:val="0"/>
          <w:szCs w:val="28"/>
        </w:rPr>
        <w:t>）</w:t>
      </w:r>
      <w:r>
        <w:rPr>
          <w:rFonts w:cs="Times New Roman"/>
          <w:kern w:val="0"/>
          <w:szCs w:val="28"/>
        </w:rPr>
        <w:t>《内蒙古自治区水利厅关于做好河湖岸线保护与利用规划编制工作的通知》（内河湖〔2019〕19号）；</w:t>
      </w:r>
    </w:p>
    <w:p>
      <w:pPr>
        <w:widowControl/>
        <w:ind w:firstLine="560"/>
        <w:rPr>
          <w:rFonts w:cs="Times New Roman"/>
          <w:kern w:val="0"/>
          <w:szCs w:val="28"/>
        </w:rPr>
      </w:pPr>
      <w:r>
        <w:rPr>
          <w:rFonts w:hint="eastAsia" w:cs="Times New Roman"/>
          <w:kern w:val="0"/>
          <w:szCs w:val="28"/>
        </w:rPr>
        <w:t>（1</w:t>
      </w:r>
      <w:r>
        <w:rPr>
          <w:rFonts w:cs="Times New Roman"/>
          <w:kern w:val="0"/>
          <w:szCs w:val="28"/>
        </w:rPr>
        <w:t>3</w:t>
      </w:r>
      <w:r>
        <w:rPr>
          <w:rFonts w:hint="eastAsia" w:cs="Times New Roman"/>
          <w:kern w:val="0"/>
          <w:szCs w:val="28"/>
        </w:rPr>
        <w:t>）《内蒙古自治区水利厅关于进一步推进水利工程管理和保护范围划界工作的通知》</w:t>
      </w:r>
      <w:r>
        <w:rPr>
          <w:rFonts w:cs="Times New Roman"/>
          <w:kern w:val="0"/>
          <w:szCs w:val="28"/>
        </w:rPr>
        <w:t>（内</w:t>
      </w:r>
      <w:r>
        <w:rPr>
          <w:rFonts w:hint="eastAsia" w:cs="Times New Roman"/>
          <w:kern w:val="0"/>
          <w:szCs w:val="28"/>
        </w:rPr>
        <w:t>水运管</w:t>
      </w:r>
      <w:r>
        <w:rPr>
          <w:rFonts w:cs="Times New Roman"/>
          <w:kern w:val="0"/>
          <w:szCs w:val="28"/>
        </w:rPr>
        <w:t>〔20</w:t>
      </w:r>
      <w:r>
        <w:rPr>
          <w:rFonts w:hint="eastAsia" w:cs="Times New Roman"/>
          <w:kern w:val="0"/>
          <w:szCs w:val="28"/>
        </w:rPr>
        <w:t>20</w:t>
      </w:r>
      <w:r>
        <w:rPr>
          <w:rFonts w:cs="Times New Roman"/>
          <w:kern w:val="0"/>
          <w:szCs w:val="28"/>
        </w:rPr>
        <w:t>〕</w:t>
      </w:r>
      <w:r>
        <w:rPr>
          <w:rFonts w:hint="eastAsia" w:cs="Times New Roman"/>
          <w:kern w:val="0"/>
          <w:szCs w:val="28"/>
        </w:rPr>
        <w:t>1</w:t>
      </w:r>
      <w:r>
        <w:rPr>
          <w:rFonts w:cs="Times New Roman"/>
          <w:kern w:val="0"/>
          <w:szCs w:val="28"/>
        </w:rPr>
        <w:t>号）；</w:t>
      </w:r>
    </w:p>
    <w:p>
      <w:pPr>
        <w:widowControl/>
        <w:ind w:firstLine="560"/>
        <w:rPr>
          <w:rFonts w:cs="Times New Roman"/>
          <w:kern w:val="0"/>
          <w:szCs w:val="28"/>
        </w:rPr>
      </w:pPr>
      <w:r>
        <w:rPr>
          <w:rFonts w:hint="eastAsia" w:cs="Times New Roman"/>
          <w:kern w:val="0"/>
          <w:szCs w:val="28"/>
        </w:rPr>
        <w:t>（1</w:t>
      </w:r>
      <w:r>
        <w:rPr>
          <w:rFonts w:cs="Times New Roman"/>
          <w:kern w:val="0"/>
          <w:szCs w:val="28"/>
        </w:rPr>
        <w:t>4</w:t>
      </w:r>
      <w:r>
        <w:rPr>
          <w:rFonts w:hint="eastAsia" w:cs="Times New Roman"/>
          <w:kern w:val="0"/>
          <w:szCs w:val="28"/>
        </w:rPr>
        <w:t>）《内蒙古自治区水利厅关于进一步加快推进水利工程划界工作的通知》</w:t>
      </w:r>
      <w:r>
        <w:rPr>
          <w:rFonts w:cs="Times New Roman"/>
          <w:kern w:val="0"/>
          <w:szCs w:val="28"/>
        </w:rPr>
        <w:t>（内</w:t>
      </w:r>
      <w:r>
        <w:rPr>
          <w:rFonts w:hint="eastAsia" w:cs="Times New Roman"/>
          <w:kern w:val="0"/>
          <w:szCs w:val="28"/>
        </w:rPr>
        <w:t>水运管</w:t>
      </w:r>
      <w:r>
        <w:rPr>
          <w:rFonts w:cs="Times New Roman"/>
          <w:kern w:val="0"/>
          <w:szCs w:val="28"/>
        </w:rPr>
        <w:t>〔20</w:t>
      </w:r>
      <w:r>
        <w:rPr>
          <w:rFonts w:hint="eastAsia" w:cs="Times New Roman"/>
          <w:kern w:val="0"/>
          <w:szCs w:val="28"/>
        </w:rPr>
        <w:t>20</w:t>
      </w:r>
      <w:r>
        <w:rPr>
          <w:rFonts w:cs="Times New Roman"/>
          <w:kern w:val="0"/>
          <w:szCs w:val="28"/>
        </w:rPr>
        <w:t>〕</w:t>
      </w:r>
      <w:r>
        <w:rPr>
          <w:rFonts w:hint="eastAsia" w:cs="Times New Roman"/>
          <w:kern w:val="0"/>
          <w:szCs w:val="28"/>
        </w:rPr>
        <w:t>44</w:t>
      </w:r>
      <w:r>
        <w:rPr>
          <w:rFonts w:cs="Times New Roman"/>
          <w:kern w:val="0"/>
          <w:szCs w:val="28"/>
        </w:rPr>
        <w:t>号）；</w:t>
      </w:r>
    </w:p>
    <w:p>
      <w:pPr>
        <w:widowControl/>
        <w:ind w:firstLine="560"/>
        <w:rPr>
          <w:rFonts w:hint="eastAsia" w:cs="Times New Roman"/>
          <w:kern w:val="0"/>
          <w:szCs w:val="28"/>
        </w:rPr>
      </w:pPr>
      <w:r>
        <w:rPr>
          <w:rFonts w:hint="eastAsia" w:cs="Times New Roman"/>
          <w:kern w:val="0"/>
          <w:szCs w:val="28"/>
        </w:rPr>
        <w:t>（1</w:t>
      </w:r>
      <w:r>
        <w:rPr>
          <w:rFonts w:cs="Times New Roman"/>
          <w:kern w:val="0"/>
          <w:szCs w:val="28"/>
        </w:rPr>
        <w:t>5</w:t>
      </w:r>
      <w:r>
        <w:rPr>
          <w:rFonts w:hint="eastAsia" w:cs="Times New Roman"/>
          <w:kern w:val="0"/>
          <w:szCs w:val="28"/>
        </w:rPr>
        <w:t>）《内蒙古自治区水利厅关于呼和浩特市哈拉沁水库工程初步设计的批复》（内水建管</w:t>
      </w:r>
      <w:r>
        <w:rPr>
          <w:rFonts w:cs="Times New Roman"/>
          <w:kern w:val="0"/>
          <w:szCs w:val="28"/>
        </w:rPr>
        <w:t>2002〕20</w:t>
      </w:r>
      <w:r>
        <w:rPr>
          <w:rFonts w:hint="eastAsia" w:cs="Times New Roman"/>
          <w:kern w:val="0"/>
          <w:szCs w:val="28"/>
        </w:rPr>
        <w:t>4</w:t>
      </w:r>
      <w:r>
        <w:rPr>
          <w:rFonts w:cs="Times New Roman"/>
          <w:kern w:val="0"/>
          <w:szCs w:val="28"/>
        </w:rPr>
        <w:t>号</w:t>
      </w:r>
      <w:r>
        <w:rPr>
          <w:rFonts w:hint="eastAsia" w:cs="Times New Roman"/>
          <w:kern w:val="0"/>
          <w:szCs w:val="28"/>
        </w:rPr>
        <w:t>）</w:t>
      </w:r>
    </w:p>
    <w:p>
      <w:pPr>
        <w:widowControl/>
        <w:ind w:firstLine="560"/>
        <w:rPr>
          <w:rFonts w:cs="Times New Roman"/>
          <w:kern w:val="0"/>
          <w:szCs w:val="28"/>
        </w:rPr>
      </w:pPr>
      <w:r>
        <w:rPr>
          <w:rFonts w:hint="eastAsia" w:cs="Times New Roman"/>
          <w:kern w:val="0"/>
          <w:szCs w:val="28"/>
        </w:rPr>
        <w:t>（1</w:t>
      </w:r>
      <w:r>
        <w:rPr>
          <w:rFonts w:cs="Times New Roman"/>
          <w:kern w:val="0"/>
          <w:szCs w:val="28"/>
        </w:rPr>
        <w:t>6</w:t>
      </w:r>
      <w:r>
        <w:rPr>
          <w:rFonts w:hint="eastAsia" w:cs="Times New Roman"/>
          <w:kern w:val="0"/>
          <w:szCs w:val="28"/>
        </w:rPr>
        <w:t>）</w:t>
      </w:r>
      <w:r>
        <w:rPr>
          <w:rFonts w:cs="Times New Roman"/>
          <w:kern w:val="0"/>
          <w:szCs w:val="28"/>
        </w:rPr>
        <w:t>其他相关文件。</w:t>
      </w:r>
    </w:p>
    <w:p>
      <w:pPr>
        <w:keepNext/>
        <w:keepLines/>
        <w:widowControl/>
        <w:spacing w:before="156" w:beforeLines="50" w:after="156" w:afterLines="50"/>
        <w:ind w:firstLine="0" w:firstLineChars="0"/>
        <w:outlineLvl w:val="1"/>
        <w:rPr>
          <w:rFonts w:cs="Times New Roman"/>
          <w:b/>
          <w:bCs/>
          <w:kern w:val="0"/>
          <w:sz w:val="30"/>
          <w:szCs w:val="26"/>
        </w:rPr>
      </w:pPr>
      <w:bookmarkStart w:id="22" w:name="_Toc24798229"/>
      <w:bookmarkStart w:id="23" w:name="_Toc45266113"/>
      <w:bookmarkStart w:id="24" w:name="_Toc60218856"/>
      <w:r>
        <w:rPr>
          <w:rFonts w:cs="Times New Roman"/>
          <w:b/>
          <w:bCs/>
          <w:kern w:val="0"/>
          <w:sz w:val="30"/>
          <w:szCs w:val="26"/>
        </w:rPr>
        <w:t>2</w:t>
      </w:r>
      <w:r>
        <w:rPr>
          <w:rFonts w:hint="eastAsia" w:cs="Times New Roman"/>
          <w:b/>
          <w:bCs/>
          <w:kern w:val="0"/>
          <w:sz w:val="30"/>
          <w:szCs w:val="26"/>
        </w:rPr>
        <w:t>.4 相关</w:t>
      </w:r>
      <w:r>
        <w:rPr>
          <w:rFonts w:cs="Times New Roman"/>
          <w:b/>
          <w:bCs/>
          <w:kern w:val="0"/>
          <w:sz w:val="30"/>
          <w:szCs w:val="26"/>
        </w:rPr>
        <w:t>技术成果</w:t>
      </w:r>
      <w:bookmarkEnd w:id="22"/>
      <w:bookmarkEnd w:id="23"/>
      <w:bookmarkEnd w:id="24"/>
    </w:p>
    <w:p>
      <w:pPr>
        <w:widowControl/>
        <w:ind w:firstLine="560"/>
        <w:rPr>
          <w:rFonts w:cs="Times New Roman"/>
          <w:kern w:val="0"/>
          <w:szCs w:val="28"/>
        </w:rPr>
      </w:pPr>
      <w:r>
        <w:rPr>
          <w:rFonts w:hint="eastAsia" w:cs="Times New Roman"/>
          <w:kern w:val="0"/>
          <w:szCs w:val="28"/>
        </w:rPr>
        <w:t>（1）《呼和浩特市哈拉沁水库初步设计报告》（内蒙古水利水电勘测设计院2</w:t>
      </w:r>
      <w:r>
        <w:rPr>
          <w:rFonts w:cs="Times New Roman"/>
          <w:kern w:val="0"/>
          <w:szCs w:val="28"/>
        </w:rPr>
        <w:t>002</w:t>
      </w:r>
      <w:r>
        <w:rPr>
          <w:rFonts w:hint="eastAsia" w:cs="Times New Roman"/>
          <w:kern w:val="0"/>
          <w:szCs w:val="28"/>
        </w:rPr>
        <w:t>年）</w:t>
      </w:r>
    </w:p>
    <w:p>
      <w:pPr>
        <w:widowControl/>
        <w:ind w:firstLine="560"/>
        <w:rPr>
          <w:rFonts w:cs="Times New Roman"/>
          <w:kern w:val="0"/>
          <w:szCs w:val="28"/>
        </w:rPr>
      </w:pPr>
      <w:r>
        <w:rPr>
          <w:rFonts w:hint="eastAsia" w:cs="Times New Roman"/>
          <w:kern w:val="0"/>
          <w:szCs w:val="28"/>
        </w:rPr>
        <w:t>（2）《呼和浩特市哈拉沁水库工程大坝施工图册》（内蒙古水利水电勘测设计院2</w:t>
      </w:r>
      <w:r>
        <w:rPr>
          <w:rFonts w:cs="Times New Roman"/>
          <w:kern w:val="0"/>
          <w:szCs w:val="28"/>
        </w:rPr>
        <w:t>003</w:t>
      </w:r>
      <w:r>
        <w:rPr>
          <w:rFonts w:hint="eastAsia" w:cs="Times New Roman"/>
          <w:kern w:val="0"/>
          <w:szCs w:val="28"/>
        </w:rPr>
        <w:t>年5月）</w:t>
      </w:r>
    </w:p>
    <w:p>
      <w:pPr>
        <w:widowControl/>
        <w:ind w:firstLine="560"/>
        <w:rPr>
          <w:rFonts w:cs="Times New Roman"/>
          <w:kern w:val="0"/>
          <w:szCs w:val="28"/>
        </w:rPr>
      </w:pPr>
      <w:r>
        <w:rPr>
          <w:rFonts w:hint="eastAsia" w:cs="Times New Roman"/>
          <w:kern w:val="0"/>
          <w:szCs w:val="28"/>
        </w:rPr>
        <w:t>（</w:t>
      </w:r>
      <w:r>
        <w:rPr>
          <w:rFonts w:cs="Times New Roman"/>
          <w:kern w:val="0"/>
          <w:szCs w:val="28"/>
        </w:rPr>
        <w:t>3</w:t>
      </w:r>
      <w:r>
        <w:rPr>
          <w:rFonts w:hint="eastAsia" w:cs="Times New Roman"/>
          <w:kern w:val="0"/>
          <w:szCs w:val="28"/>
        </w:rPr>
        <w:t>）《呼和浩特市哈拉沁水库工程放水洞施工图册》（内蒙古水利水电勘测设计院2</w:t>
      </w:r>
      <w:r>
        <w:rPr>
          <w:rFonts w:cs="Times New Roman"/>
          <w:kern w:val="0"/>
          <w:szCs w:val="28"/>
        </w:rPr>
        <w:t>003</w:t>
      </w:r>
      <w:r>
        <w:rPr>
          <w:rFonts w:hint="eastAsia" w:cs="Times New Roman"/>
          <w:kern w:val="0"/>
          <w:szCs w:val="28"/>
        </w:rPr>
        <w:t>年</w:t>
      </w:r>
      <w:r>
        <w:rPr>
          <w:rFonts w:cs="Times New Roman"/>
          <w:kern w:val="0"/>
          <w:szCs w:val="28"/>
        </w:rPr>
        <w:t>8</w:t>
      </w:r>
      <w:r>
        <w:rPr>
          <w:rFonts w:hint="eastAsia" w:cs="Times New Roman"/>
          <w:kern w:val="0"/>
          <w:szCs w:val="28"/>
        </w:rPr>
        <w:t>月）</w:t>
      </w:r>
    </w:p>
    <w:p>
      <w:pPr>
        <w:widowControl/>
        <w:ind w:firstLine="560"/>
        <w:rPr>
          <w:rFonts w:ascii="宋体" w:hAnsi="宋体"/>
          <w:szCs w:val="28"/>
        </w:rPr>
      </w:pPr>
      <w:r>
        <w:rPr>
          <w:rFonts w:hint="eastAsia" w:cs="Times New Roman"/>
          <w:kern w:val="0"/>
          <w:szCs w:val="28"/>
        </w:rPr>
        <w:t>（4）</w:t>
      </w:r>
      <w:r>
        <w:rPr>
          <w:rFonts w:hint="eastAsia" w:ascii="宋体" w:hAnsi="宋体"/>
          <w:szCs w:val="28"/>
        </w:rPr>
        <w:t>《内蒙古自治区呼和浩特市哈拉沁水库工程调度规程》</w:t>
      </w:r>
    </w:p>
    <w:p>
      <w:pPr>
        <w:keepNext/>
        <w:keepLines/>
        <w:widowControl/>
        <w:spacing w:before="156" w:beforeLines="50" w:after="156" w:afterLines="50"/>
        <w:ind w:firstLine="0" w:firstLineChars="0"/>
        <w:outlineLvl w:val="1"/>
        <w:rPr>
          <w:rFonts w:cs="Times New Roman"/>
          <w:b/>
          <w:bCs/>
          <w:kern w:val="0"/>
          <w:sz w:val="30"/>
          <w:szCs w:val="26"/>
        </w:rPr>
      </w:pPr>
      <w:bookmarkStart w:id="25" w:name="_Toc24798230"/>
      <w:bookmarkStart w:id="26" w:name="_Toc45266114"/>
      <w:bookmarkStart w:id="27" w:name="_Toc60218857"/>
      <w:r>
        <w:rPr>
          <w:rFonts w:cs="Times New Roman"/>
          <w:b/>
          <w:bCs/>
          <w:kern w:val="0"/>
          <w:sz w:val="30"/>
          <w:szCs w:val="26"/>
        </w:rPr>
        <w:t>2</w:t>
      </w:r>
      <w:r>
        <w:rPr>
          <w:rFonts w:hint="eastAsia" w:cs="Times New Roman"/>
          <w:b/>
          <w:bCs/>
          <w:kern w:val="0"/>
          <w:sz w:val="30"/>
          <w:szCs w:val="26"/>
        </w:rPr>
        <w:t>.5 测绘</w:t>
      </w:r>
      <w:r>
        <w:rPr>
          <w:rFonts w:cs="Times New Roman"/>
          <w:b/>
          <w:bCs/>
          <w:kern w:val="0"/>
          <w:sz w:val="30"/>
          <w:szCs w:val="26"/>
        </w:rPr>
        <w:t>及遥感影像</w:t>
      </w:r>
      <w:bookmarkEnd w:id="25"/>
      <w:bookmarkEnd w:id="26"/>
      <w:bookmarkEnd w:id="27"/>
    </w:p>
    <w:p>
      <w:pPr>
        <w:widowControl/>
        <w:ind w:firstLine="560"/>
        <w:rPr>
          <w:rFonts w:cs="Times New Roman"/>
          <w:kern w:val="0"/>
          <w:szCs w:val="28"/>
        </w:rPr>
      </w:pPr>
      <w:r>
        <w:rPr>
          <w:rFonts w:cs="Times New Roman"/>
        </w:rPr>
        <w:t>遥感影像数据为</w:t>
      </w:r>
      <w:r>
        <w:rPr>
          <w:rFonts w:hint="eastAsia" w:cs="Times New Roman"/>
        </w:rPr>
        <w:t>呼和浩特市鑫图测绘工程有限责任公司</w:t>
      </w:r>
      <w:r>
        <w:rPr>
          <w:rFonts w:cs="Times New Roman"/>
        </w:rPr>
        <w:t>于2022年11月航测影像数据，即利用无人机搭载航摄相机，获取的地面分辨率优于0.1m的航空影像数据，并制作测区0.2m地面分辨率的正射影像。遥感影像覆盖范围大于管理范围划定范围，即遥感影像覆盖宽度为河道岸边1km以上，大于管理范围划定的宽度，覆盖长度大于</w:t>
      </w:r>
      <w:r>
        <w:rPr>
          <w:rFonts w:hint="eastAsia" w:cs="Times New Roman"/>
        </w:rPr>
        <w:t>水库</w:t>
      </w:r>
      <w:r>
        <w:rPr>
          <w:rFonts w:cs="Times New Roman"/>
        </w:rPr>
        <w:t>长度，满足工作要求。</w:t>
      </w:r>
    </w:p>
    <w:p>
      <w:pPr>
        <w:widowControl/>
        <w:ind w:firstLine="560"/>
        <w:rPr>
          <w:rFonts w:cs="Times New Roman"/>
          <w:kern w:val="0"/>
          <w:szCs w:val="28"/>
        </w:rPr>
      </w:pPr>
      <w:r>
        <w:rPr>
          <w:rFonts w:hint="eastAsia" w:cs="Times New Roman"/>
          <w:kern w:val="0"/>
          <w:szCs w:val="28"/>
        </w:rPr>
        <w:t>无人机采用的是大鹏CW-30垂直起降固定翼无人机，且无人机搭载8000万像素的飞思iXU-180航摄相机系统。</w:t>
      </w:r>
    </w:p>
    <w:p>
      <w:pPr>
        <w:widowControl/>
        <w:ind w:firstLine="560"/>
        <w:rPr>
          <w:rFonts w:cs="Times New Roman"/>
          <w:kern w:val="0"/>
          <w:szCs w:val="28"/>
        </w:rPr>
      </w:pPr>
      <w:r>
        <w:rPr>
          <w:rFonts w:hint="eastAsia" w:cs="Times New Roman"/>
          <w:kern w:val="0"/>
          <w:szCs w:val="28"/>
        </w:rPr>
        <w:t>依据获取的遥感影像数据，绘制比例尺为1：2000的带状地形图，获取的地形图宽度在1.8~3.1km之间，长为河道规划长度。</w:t>
      </w:r>
    </w:p>
    <w:p>
      <w:pPr>
        <w:widowControl/>
        <w:ind w:firstLine="560"/>
        <w:rPr>
          <w:rFonts w:cs="Times New Roman"/>
          <w:kern w:val="0"/>
          <w:szCs w:val="28"/>
        </w:rPr>
      </w:pPr>
      <w:r>
        <w:rPr>
          <w:rFonts w:hint="eastAsia" w:cs="Times New Roman"/>
          <w:kern w:val="0"/>
          <w:szCs w:val="28"/>
        </w:rPr>
        <w:t>地形图采用2000国家大地坐标系，高斯正形投影，3°分带，中央子午线111°，1985国家高程基准。</w:t>
      </w:r>
    </w:p>
    <w:p>
      <w:pPr>
        <w:widowControl/>
        <w:ind w:firstLine="560"/>
        <w:rPr>
          <w:rFonts w:cs="Times New Roman"/>
          <w:kern w:val="0"/>
          <w:szCs w:val="28"/>
        </w:rPr>
      </w:pPr>
      <w:r>
        <w:rPr>
          <w:rFonts w:cs="Times New Roman"/>
        </w:rPr>
        <w:t>为确保工作精度及规划报告质量，本次规划工作底图是利用GIS软件，将获取的遥感影像、1：2000的地形图、依据</w:t>
      </w:r>
      <w:r>
        <w:rPr>
          <w:rFonts w:hint="eastAsia" w:cs="Times New Roman"/>
        </w:rPr>
        <w:t>法律法规，结合已划定的河道管理范围</w:t>
      </w:r>
      <w:r>
        <w:rPr>
          <w:rFonts w:cs="Times New Roman"/>
        </w:rPr>
        <w:t>等，依法依规划定</w:t>
      </w:r>
      <w:r>
        <w:rPr>
          <w:rFonts w:hint="eastAsia" w:cs="Times New Roman"/>
        </w:rPr>
        <w:t>水库</w:t>
      </w:r>
      <w:r>
        <w:rPr>
          <w:rFonts w:cs="Times New Roman"/>
        </w:rPr>
        <w:t>管理范围</w:t>
      </w:r>
      <w:r>
        <w:rPr>
          <w:rFonts w:hint="eastAsia" w:cs="Times New Roman"/>
        </w:rPr>
        <w:t>和保护范围</w:t>
      </w:r>
      <w:r>
        <w:rPr>
          <w:rFonts w:cs="Times New Roman"/>
        </w:rPr>
        <w:t>。</w:t>
      </w:r>
    </w:p>
    <w:p>
      <w:pPr>
        <w:pStyle w:val="62"/>
      </w:pPr>
      <w:r>
        <w:drawing>
          <wp:inline distT="0" distB="0" distL="0" distR="0">
            <wp:extent cx="5274310" cy="3440430"/>
            <wp:effectExtent l="0" t="0" r="2540" b="7620"/>
            <wp:docPr id="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a:picLocks noChangeAspect="1"/>
                    </pic:cNvPicPr>
                  </pic:nvPicPr>
                  <pic:blipFill>
                    <a:blip r:embed="rId37"/>
                    <a:stretch>
                      <a:fillRect/>
                    </a:stretch>
                  </pic:blipFill>
                  <pic:spPr>
                    <a:xfrm>
                      <a:off x="0" y="0"/>
                      <a:ext cx="5274310" cy="3440430"/>
                    </a:xfrm>
                    <a:prstGeom prst="rect">
                      <a:avLst/>
                    </a:prstGeom>
                  </pic:spPr>
                </pic:pic>
              </a:graphicData>
            </a:graphic>
          </wp:inline>
        </w:drawing>
      </w:r>
    </w:p>
    <w:p>
      <w:pPr>
        <w:pStyle w:val="61"/>
        <w:ind w:firstLine="0"/>
        <w:rPr>
          <w:sz w:val="28"/>
          <w:szCs w:val="28"/>
        </w:rPr>
      </w:pPr>
      <w:r>
        <w:rPr>
          <w:rFonts w:hint="eastAsia"/>
          <w:sz w:val="28"/>
          <w:szCs w:val="28"/>
        </w:rPr>
        <w:t>图2-</w:t>
      </w:r>
      <w:r>
        <w:rPr>
          <w:sz w:val="28"/>
          <w:szCs w:val="28"/>
        </w:rPr>
        <w:t xml:space="preserve">1 </w:t>
      </w:r>
      <w:r>
        <w:rPr>
          <w:rFonts w:hint="eastAsia"/>
          <w:sz w:val="28"/>
          <w:szCs w:val="28"/>
        </w:rPr>
        <w:t>工作底图示意图</w:t>
      </w:r>
    </w:p>
    <w:p>
      <w:pPr>
        <w:widowControl/>
        <w:ind w:firstLine="560"/>
        <w:rPr>
          <w:rFonts w:cs="Times New Roman"/>
          <w:kern w:val="0"/>
          <w:szCs w:val="28"/>
        </w:rPr>
        <w:sectPr>
          <w:headerReference r:id="rId21" w:type="default"/>
          <w:footerReference r:id="rId22" w:type="default"/>
          <w:pgSz w:w="11906" w:h="16838"/>
          <w:pgMar w:top="1440" w:right="1800" w:bottom="1440" w:left="1800" w:header="851" w:footer="992" w:gutter="0"/>
          <w:cols w:space="425" w:num="1"/>
          <w:docGrid w:type="lines" w:linePitch="312" w:charSpace="0"/>
        </w:sectPr>
      </w:pPr>
    </w:p>
    <w:p>
      <w:pPr>
        <w:pStyle w:val="2"/>
        <w:spacing w:before="156" w:after="156"/>
      </w:pPr>
      <w:bookmarkStart w:id="28" w:name="_Toc60218858"/>
      <w:r>
        <w:rPr>
          <w:rFonts w:hint="eastAsia"/>
        </w:rPr>
        <w:t xml:space="preserve">第三章 </w:t>
      </w:r>
      <w:r>
        <w:t xml:space="preserve"> </w:t>
      </w:r>
      <w:r>
        <w:rPr>
          <w:rFonts w:hint="eastAsia"/>
        </w:rPr>
        <w:t>划定方法</w:t>
      </w:r>
      <w:bookmarkEnd w:id="28"/>
    </w:p>
    <w:p>
      <w:pPr>
        <w:widowControl/>
        <w:ind w:firstLine="560"/>
        <w:rPr>
          <w:rFonts w:cs="Times New Roman"/>
          <w:kern w:val="0"/>
          <w:szCs w:val="28"/>
        </w:rPr>
      </w:pPr>
      <w:r>
        <w:rPr>
          <w:rFonts w:hint="eastAsia" w:cs="Times New Roman"/>
          <w:kern w:val="0"/>
          <w:szCs w:val="28"/>
        </w:rPr>
        <w:t>依据《内蒙古自治区水利厅关于进一步加快推进水利工程划界工作的通知》（内水运管﹝2020﹞44号）要求，水利工程管理与保护范围划定标准，按照《堤防工程设计规范》、《水库工程管理设计规范》、《水闸设计规范》、自治区人民政府《关于印发&lt;内蒙古自治区水利工程管理和保护范围划定标准&gt;的通知》（内政发﹝1885﹞137号）等有关规范，结合各地区实际，因地制宜，综合考虑确定。</w:t>
      </w:r>
    </w:p>
    <w:p>
      <w:pPr>
        <w:widowControl/>
        <w:ind w:firstLine="560"/>
        <w:rPr>
          <w:rFonts w:cs="Times New Roman"/>
          <w:kern w:val="0"/>
          <w:szCs w:val="28"/>
        </w:rPr>
      </w:pPr>
      <w:r>
        <w:rPr>
          <w:rFonts w:hint="eastAsia" w:cs="Times New Roman"/>
          <w:kern w:val="0"/>
          <w:szCs w:val="28"/>
        </w:rPr>
        <w:t>按《内蒙古自治区呼和浩特市哈拉沁水库初步设计报告》呼和浩特市哈拉沁水库哈拉沁水库总库容6730万m³，大坝为壤土斜心墙砂砾石坝，坝顶长度252m，最大坝高46.8m，坝顶宽10m。设有泄洪洞、放水洞等单元工程。哈拉沁水库的任务是防洪为主，保护目标为内蒙古自治区首府呼和浩特市，保护对象重要，根据《水利水电工程等级划分及洪水标准》（SL252—2000），水库工程规模为中型水库，工程等别根据保护对象的重要性，在原规定的工程等别基础上提高一级，划定本工程为Ⅱ等工程。永久性主要建筑物为2级，次要建筑物为3级。哈拉沁水库设计洪水标准采用500年一遇（P=0.2%），校核洪水标准采用2000年一遇（P=0.05）。泄洪建筑物消能防冲的设计洪水标准为50年一遇（P=2%）。</w:t>
      </w:r>
    </w:p>
    <w:p>
      <w:pPr>
        <w:widowControl/>
        <w:ind w:firstLine="560"/>
        <w:rPr>
          <w:rFonts w:cs="Times New Roman"/>
          <w:kern w:val="0"/>
          <w:szCs w:val="28"/>
        </w:rPr>
      </w:pPr>
      <w:r>
        <w:rPr>
          <w:rFonts w:hint="eastAsia" w:cs="Times New Roman"/>
          <w:kern w:val="0"/>
          <w:szCs w:val="28"/>
        </w:rPr>
        <w:t>内蒙古自治区水利厅以内水建管〔2</w:t>
      </w:r>
      <w:r>
        <w:rPr>
          <w:rFonts w:cs="Times New Roman"/>
          <w:kern w:val="0"/>
          <w:szCs w:val="28"/>
        </w:rPr>
        <w:t>002</w:t>
      </w:r>
      <w:r>
        <w:rPr>
          <w:rFonts w:hint="eastAsia" w:cs="Times New Roman"/>
          <w:kern w:val="0"/>
          <w:szCs w:val="28"/>
        </w:rPr>
        <w:t>〕2</w:t>
      </w:r>
      <w:r>
        <w:rPr>
          <w:rFonts w:cs="Times New Roman"/>
          <w:kern w:val="0"/>
          <w:szCs w:val="28"/>
        </w:rPr>
        <w:t>04</w:t>
      </w:r>
      <w:r>
        <w:rPr>
          <w:rFonts w:hint="eastAsia" w:cs="Times New Roman"/>
          <w:kern w:val="0"/>
          <w:szCs w:val="28"/>
        </w:rPr>
        <w:t>号对《呼和浩特市哈拉沁水库工程初步设计报告》批复。批复水库规模为中型水库，根据保护对象的重要性，工程等别提高一级，工程等别为2等，大坝、泄洪隧洞、放水洞为2级建筑物，非常溢洪道为3级建筑物，洪水标准为5</w:t>
      </w:r>
      <w:r>
        <w:rPr>
          <w:rFonts w:cs="Times New Roman"/>
          <w:kern w:val="0"/>
          <w:szCs w:val="28"/>
        </w:rPr>
        <w:t>00</w:t>
      </w:r>
      <w:r>
        <w:rPr>
          <w:rFonts w:hint="eastAsia" w:cs="Times New Roman"/>
          <w:kern w:val="0"/>
          <w:szCs w:val="28"/>
        </w:rPr>
        <w:t>年一遇，校核标准为2</w:t>
      </w:r>
      <w:r>
        <w:rPr>
          <w:rFonts w:cs="Times New Roman"/>
          <w:kern w:val="0"/>
          <w:szCs w:val="28"/>
        </w:rPr>
        <w:t>000</w:t>
      </w:r>
      <w:r>
        <w:rPr>
          <w:rFonts w:hint="eastAsia" w:cs="Times New Roman"/>
          <w:kern w:val="0"/>
          <w:szCs w:val="28"/>
        </w:rPr>
        <w:t>年一遇，泄水建筑物消能防冲设施洪水标准为5</w:t>
      </w:r>
      <w:r>
        <w:rPr>
          <w:rFonts w:cs="Times New Roman"/>
          <w:kern w:val="0"/>
          <w:szCs w:val="28"/>
        </w:rPr>
        <w:t>0</w:t>
      </w:r>
      <w:r>
        <w:rPr>
          <w:rFonts w:hint="eastAsia" w:cs="Times New Roman"/>
          <w:kern w:val="0"/>
          <w:szCs w:val="28"/>
        </w:rPr>
        <w:t>年一遇。</w:t>
      </w:r>
    </w:p>
    <w:p>
      <w:pPr>
        <w:widowControl/>
        <w:ind w:firstLine="560"/>
        <w:rPr>
          <w:rFonts w:cs="Times New Roman"/>
          <w:kern w:val="0"/>
          <w:szCs w:val="28"/>
        </w:rPr>
      </w:pPr>
      <w:r>
        <w:rPr>
          <w:rFonts w:hint="eastAsia" w:cs="Times New Roman"/>
          <w:kern w:val="0"/>
          <w:szCs w:val="28"/>
        </w:rPr>
        <w:t>本次哈拉沁水库综合考虑哈拉沁水库实际情况，按批复的中型水库规模，确定划界标准</w:t>
      </w:r>
    </w:p>
    <w:p>
      <w:pPr>
        <w:keepNext/>
        <w:keepLines/>
        <w:widowControl/>
        <w:spacing w:before="156" w:beforeLines="50" w:after="156" w:afterLines="50"/>
        <w:ind w:firstLine="0" w:firstLineChars="0"/>
        <w:outlineLvl w:val="1"/>
        <w:rPr>
          <w:rFonts w:cs="Times New Roman"/>
          <w:b/>
          <w:bCs/>
          <w:kern w:val="0"/>
          <w:sz w:val="30"/>
          <w:szCs w:val="26"/>
        </w:rPr>
      </w:pPr>
      <w:bookmarkStart w:id="29" w:name="_Toc60218859"/>
      <w:bookmarkStart w:id="30" w:name="_Toc60069219"/>
      <w:r>
        <w:rPr>
          <w:rFonts w:hint="eastAsia" w:cs="Times New Roman"/>
          <w:b/>
          <w:bCs/>
          <w:kern w:val="0"/>
          <w:sz w:val="30"/>
          <w:szCs w:val="26"/>
        </w:rPr>
        <w:t>3</w:t>
      </w:r>
      <w:r>
        <w:rPr>
          <w:rFonts w:cs="Times New Roman"/>
          <w:b/>
          <w:bCs/>
          <w:kern w:val="0"/>
          <w:sz w:val="30"/>
          <w:szCs w:val="26"/>
        </w:rPr>
        <w:t xml:space="preserve">.1 </w:t>
      </w:r>
      <w:r>
        <w:rPr>
          <w:rFonts w:hint="eastAsia" w:cs="Times New Roman"/>
          <w:b/>
          <w:bCs/>
          <w:kern w:val="0"/>
          <w:sz w:val="30"/>
          <w:szCs w:val="26"/>
        </w:rPr>
        <w:t>划定</w:t>
      </w:r>
      <w:r>
        <w:rPr>
          <w:rFonts w:cs="Times New Roman"/>
          <w:b/>
          <w:bCs/>
          <w:kern w:val="0"/>
          <w:sz w:val="30"/>
          <w:szCs w:val="26"/>
        </w:rPr>
        <w:t>原则</w:t>
      </w:r>
      <w:bookmarkEnd w:id="29"/>
      <w:bookmarkEnd w:id="30"/>
    </w:p>
    <w:p>
      <w:pPr>
        <w:widowControl/>
        <w:ind w:firstLine="560"/>
        <w:rPr>
          <w:rFonts w:cs="Times New Roman"/>
          <w:kern w:val="0"/>
          <w:szCs w:val="28"/>
        </w:rPr>
      </w:pPr>
      <w:r>
        <w:rPr>
          <w:rFonts w:hint="eastAsia" w:cs="Times New Roman"/>
          <w:kern w:val="0"/>
          <w:szCs w:val="28"/>
        </w:rPr>
        <w:t>1、依法依规、因地制宜。根据有关法律法规、规范性文件、技术标准和有关文件等，依法依规划定水利</w:t>
      </w:r>
      <w:r>
        <w:rPr>
          <w:rFonts w:cs="Times New Roman"/>
          <w:kern w:val="0"/>
          <w:szCs w:val="28"/>
        </w:rPr>
        <w:t>工程</w:t>
      </w:r>
      <w:r>
        <w:rPr>
          <w:rFonts w:hint="eastAsia" w:cs="Times New Roman"/>
          <w:kern w:val="0"/>
          <w:szCs w:val="28"/>
        </w:rPr>
        <w:t>管理和</w:t>
      </w:r>
      <w:r>
        <w:rPr>
          <w:rFonts w:cs="Times New Roman"/>
          <w:kern w:val="0"/>
          <w:szCs w:val="28"/>
        </w:rPr>
        <w:t>保护</w:t>
      </w:r>
      <w:r>
        <w:rPr>
          <w:rFonts w:hint="eastAsia" w:cs="Times New Roman"/>
          <w:kern w:val="0"/>
          <w:szCs w:val="28"/>
        </w:rPr>
        <w:t>范围；同时参照水利工程现状管理和</w:t>
      </w:r>
      <w:r>
        <w:rPr>
          <w:rFonts w:cs="Times New Roman"/>
          <w:kern w:val="0"/>
          <w:szCs w:val="28"/>
        </w:rPr>
        <w:t>保护范围现状及需求，</w:t>
      </w:r>
      <w:r>
        <w:rPr>
          <w:rFonts w:hint="eastAsia" w:cs="Times New Roman"/>
          <w:kern w:val="0"/>
          <w:szCs w:val="28"/>
        </w:rPr>
        <w:t>在</w:t>
      </w:r>
      <w:r>
        <w:rPr>
          <w:rFonts w:cs="Times New Roman"/>
          <w:kern w:val="0"/>
          <w:szCs w:val="28"/>
        </w:rPr>
        <w:t>法律法规</w:t>
      </w:r>
      <w:r>
        <w:rPr>
          <w:rFonts w:hint="eastAsia" w:cs="Times New Roman"/>
          <w:kern w:val="0"/>
          <w:szCs w:val="28"/>
        </w:rPr>
        <w:t>规定</w:t>
      </w:r>
      <w:r>
        <w:rPr>
          <w:rFonts w:cs="Times New Roman"/>
          <w:kern w:val="0"/>
          <w:szCs w:val="28"/>
        </w:rPr>
        <w:t>的范围内</w:t>
      </w:r>
      <w:r>
        <w:rPr>
          <w:rFonts w:hint="eastAsia" w:cs="Times New Roman"/>
          <w:kern w:val="0"/>
          <w:szCs w:val="28"/>
        </w:rPr>
        <w:t>，因地制宜划定水利</w:t>
      </w:r>
      <w:r>
        <w:rPr>
          <w:rFonts w:cs="Times New Roman"/>
          <w:kern w:val="0"/>
          <w:szCs w:val="28"/>
        </w:rPr>
        <w:t>工程</w:t>
      </w:r>
      <w:r>
        <w:rPr>
          <w:rFonts w:hint="eastAsia" w:cs="Times New Roman"/>
          <w:kern w:val="0"/>
          <w:szCs w:val="28"/>
        </w:rPr>
        <w:t>管理与保护</w:t>
      </w:r>
      <w:r>
        <w:rPr>
          <w:rFonts w:cs="Times New Roman"/>
          <w:kern w:val="0"/>
          <w:szCs w:val="28"/>
        </w:rPr>
        <w:t>范围</w:t>
      </w:r>
      <w:r>
        <w:rPr>
          <w:rFonts w:hint="eastAsia" w:cs="Times New Roman"/>
          <w:kern w:val="0"/>
          <w:szCs w:val="28"/>
        </w:rPr>
        <w:t>。</w:t>
      </w:r>
    </w:p>
    <w:p>
      <w:pPr>
        <w:widowControl/>
        <w:ind w:firstLine="560"/>
        <w:rPr>
          <w:rFonts w:cs="Times New Roman"/>
          <w:kern w:val="0"/>
          <w:szCs w:val="28"/>
        </w:rPr>
      </w:pPr>
      <w:r>
        <w:rPr>
          <w:rFonts w:hint="eastAsia" w:cs="Times New Roman"/>
          <w:kern w:val="0"/>
          <w:szCs w:val="28"/>
        </w:rPr>
        <w:t>2、统筹</w:t>
      </w:r>
      <w:r>
        <w:rPr>
          <w:rFonts w:cs="Times New Roman"/>
          <w:kern w:val="0"/>
          <w:szCs w:val="28"/>
        </w:rPr>
        <w:t>兼顾、合理衔接</w:t>
      </w:r>
      <w:r>
        <w:rPr>
          <w:rFonts w:hint="eastAsia" w:cs="Times New Roman"/>
          <w:kern w:val="0"/>
          <w:szCs w:val="28"/>
        </w:rPr>
        <w:t>。水利</w:t>
      </w:r>
      <w:r>
        <w:rPr>
          <w:rFonts w:cs="Times New Roman"/>
          <w:kern w:val="0"/>
          <w:szCs w:val="28"/>
        </w:rPr>
        <w:t>工程</w:t>
      </w:r>
      <w:r>
        <w:rPr>
          <w:rFonts w:hint="eastAsia" w:cs="Times New Roman"/>
          <w:kern w:val="0"/>
          <w:szCs w:val="28"/>
        </w:rPr>
        <w:t>管理</w:t>
      </w:r>
      <w:r>
        <w:rPr>
          <w:rFonts w:cs="Times New Roman"/>
          <w:kern w:val="0"/>
          <w:szCs w:val="28"/>
        </w:rPr>
        <w:t>与保护范围划界</w:t>
      </w:r>
      <w:r>
        <w:rPr>
          <w:rFonts w:hint="eastAsia" w:cs="Times New Roman"/>
          <w:kern w:val="0"/>
          <w:szCs w:val="28"/>
        </w:rPr>
        <w:t>应充分</w:t>
      </w:r>
      <w:r>
        <w:rPr>
          <w:rFonts w:cs="Times New Roman"/>
          <w:kern w:val="0"/>
          <w:szCs w:val="28"/>
        </w:rPr>
        <w:t>考虑水利工程管理</w:t>
      </w:r>
      <w:r>
        <w:rPr>
          <w:rFonts w:hint="eastAsia" w:cs="Times New Roman"/>
          <w:kern w:val="0"/>
          <w:szCs w:val="28"/>
        </w:rPr>
        <w:t>和</w:t>
      </w:r>
      <w:r>
        <w:rPr>
          <w:rFonts w:cs="Times New Roman"/>
          <w:kern w:val="0"/>
          <w:szCs w:val="28"/>
        </w:rPr>
        <w:t>保护范围</w:t>
      </w:r>
      <w:r>
        <w:rPr>
          <w:rFonts w:hint="eastAsia" w:cs="Times New Roman"/>
          <w:kern w:val="0"/>
          <w:szCs w:val="28"/>
        </w:rPr>
        <w:t>需求</w:t>
      </w:r>
      <w:r>
        <w:rPr>
          <w:rFonts w:cs="Times New Roman"/>
          <w:kern w:val="0"/>
          <w:szCs w:val="28"/>
        </w:rPr>
        <w:t>，</w:t>
      </w:r>
      <w:r>
        <w:rPr>
          <w:rFonts w:hint="eastAsia" w:cs="Times New Roman"/>
          <w:kern w:val="0"/>
          <w:szCs w:val="28"/>
        </w:rPr>
        <w:t>尽可能</w:t>
      </w:r>
      <w:r>
        <w:rPr>
          <w:rFonts w:cs="Times New Roman"/>
          <w:kern w:val="0"/>
          <w:szCs w:val="28"/>
        </w:rPr>
        <w:t>采用已有</w:t>
      </w:r>
      <w:r>
        <w:rPr>
          <w:rFonts w:hint="eastAsia" w:cs="Times New Roman"/>
          <w:kern w:val="0"/>
          <w:szCs w:val="28"/>
        </w:rPr>
        <w:t>市级</w:t>
      </w:r>
      <w:r>
        <w:rPr>
          <w:rFonts w:cs="Times New Roman"/>
          <w:kern w:val="0"/>
          <w:szCs w:val="28"/>
        </w:rPr>
        <w:t>河湖管理范围划界成果</w:t>
      </w:r>
      <w:r>
        <w:rPr>
          <w:rFonts w:hint="eastAsia" w:cs="Times New Roman"/>
          <w:kern w:val="0"/>
          <w:szCs w:val="28"/>
        </w:rPr>
        <w:t>，</w:t>
      </w:r>
      <w:r>
        <w:rPr>
          <w:rFonts w:cs="Times New Roman"/>
          <w:kern w:val="0"/>
          <w:szCs w:val="28"/>
        </w:rPr>
        <w:t>并与</w:t>
      </w:r>
      <w:r>
        <w:rPr>
          <w:rFonts w:hint="eastAsia" w:cs="Times New Roman"/>
          <w:kern w:val="0"/>
          <w:szCs w:val="28"/>
        </w:rPr>
        <w:t>水利一张图</w:t>
      </w:r>
      <w:r>
        <w:rPr>
          <w:rFonts w:cs="Times New Roman"/>
          <w:kern w:val="0"/>
          <w:szCs w:val="28"/>
        </w:rPr>
        <w:t>做好衔接。</w:t>
      </w:r>
    </w:p>
    <w:p>
      <w:pPr>
        <w:widowControl/>
        <w:ind w:firstLine="560"/>
        <w:rPr>
          <w:rFonts w:cs="Times New Roman"/>
          <w:kern w:val="0"/>
          <w:szCs w:val="28"/>
        </w:rPr>
      </w:pPr>
      <w:r>
        <w:rPr>
          <w:rFonts w:cs="Times New Roman"/>
          <w:kern w:val="0"/>
          <w:szCs w:val="28"/>
        </w:rPr>
        <w:t>3</w:t>
      </w:r>
      <w:r>
        <w:rPr>
          <w:rFonts w:hint="eastAsia" w:cs="Times New Roman"/>
          <w:kern w:val="0"/>
          <w:szCs w:val="28"/>
        </w:rPr>
        <w:t>、明确标准、合理取值</w:t>
      </w:r>
      <w:r>
        <w:rPr>
          <w:rFonts w:cs="Times New Roman"/>
          <w:kern w:val="0"/>
          <w:szCs w:val="28"/>
        </w:rPr>
        <w:t>。水利工程管理</w:t>
      </w:r>
      <w:r>
        <w:rPr>
          <w:rFonts w:hint="eastAsia" w:cs="Times New Roman"/>
          <w:kern w:val="0"/>
          <w:szCs w:val="28"/>
        </w:rPr>
        <w:t>与</w:t>
      </w:r>
      <w:r>
        <w:rPr>
          <w:rFonts w:cs="Times New Roman"/>
          <w:kern w:val="0"/>
          <w:szCs w:val="28"/>
        </w:rPr>
        <w:t>保护范围</w:t>
      </w:r>
      <w:r>
        <w:rPr>
          <w:rFonts w:hint="eastAsia" w:cs="Times New Roman"/>
          <w:kern w:val="0"/>
          <w:szCs w:val="28"/>
        </w:rPr>
        <w:t>划界尽可能采用</w:t>
      </w:r>
      <w:r>
        <w:rPr>
          <w:rFonts w:cs="Times New Roman"/>
          <w:kern w:val="0"/>
          <w:szCs w:val="28"/>
        </w:rPr>
        <w:t>地方颁布的标准</w:t>
      </w:r>
      <w:r>
        <w:rPr>
          <w:rFonts w:hint="eastAsia" w:cs="Times New Roman"/>
          <w:kern w:val="0"/>
          <w:szCs w:val="28"/>
        </w:rPr>
        <w:t>；针对</w:t>
      </w:r>
      <w:r>
        <w:rPr>
          <w:rFonts w:cs="Times New Roman"/>
          <w:kern w:val="0"/>
          <w:szCs w:val="28"/>
        </w:rPr>
        <w:t>无人</w:t>
      </w:r>
      <w:r>
        <w:rPr>
          <w:rFonts w:hint="eastAsia" w:cs="Times New Roman"/>
          <w:kern w:val="0"/>
          <w:szCs w:val="28"/>
        </w:rPr>
        <w:t>居住</w:t>
      </w:r>
      <w:r>
        <w:rPr>
          <w:rFonts w:cs="Times New Roman"/>
          <w:kern w:val="0"/>
          <w:szCs w:val="28"/>
        </w:rPr>
        <w:t>区或</w:t>
      </w:r>
      <w:r>
        <w:rPr>
          <w:rFonts w:hint="eastAsia" w:cs="Times New Roman"/>
          <w:kern w:val="0"/>
          <w:szCs w:val="28"/>
        </w:rPr>
        <w:t>争议</w:t>
      </w:r>
      <w:r>
        <w:rPr>
          <w:rFonts w:cs="Times New Roman"/>
          <w:kern w:val="0"/>
          <w:szCs w:val="28"/>
        </w:rPr>
        <w:t>较小区域，水利工程划界</w:t>
      </w:r>
      <w:r>
        <w:rPr>
          <w:rFonts w:hint="eastAsia" w:cs="Times New Roman"/>
          <w:kern w:val="0"/>
          <w:szCs w:val="28"/>
        </w:rPr>
        <w:t>尽可能</w:t>
      </w:r>
      <w:r>
        <w:rPr>
          <w:rFonts w:cs="Times New Roman"/>
          <w:kern w:val="0"/>
          <w:szCs w:val="28"/>
        </w:rPr>
        <w:t>采用法律法规、标准规范规定的上限值</w:t>
      </w:r>
      <w:r>
        <w:rPr>
          <w:rFonts w:hint="eastAsia" w:cs="Times New Roman"/>
          <w:kern w:val="0"/>
          <w:szCs w:val="28"/>
        </w:rPr>
        <w:t>；针对划界</w:t>
      </w:r>
      <w:r>
        <w:rPr>
          <w:rFonts w:cs="Times New Roman"/>
          <w:kern w:val="0"/>
          <w:szCs w:val="28"/>
        </w:rPr>
        <w:t>可能引起社会</w:t>
      </w:r>
      <w:r>
        <w:rPr>
          <w:rFonts w:hint="eastAsia" w:cs="Times New Roman"/>
          <w:kern w:val="0"/>
          <w:szCs w:val="28"/>
        </w:rPr>
        <w:t>矛盾</w:t>
      </w:r>
      <w:r>
        <w:rPr>
          <w:rFonts w:cs="Times New Roman"/>
          <w:kern w:val="0"/>
          <w:szCs w:val="28"/>
        </w:rPr>
        <w:t>或</w:t>
      </w:r>
      <w:r>
        <w:rPr>
          <w:rFonts w:hint="eastAsia" w:cs="Times New Roman"/>
          <w:kern w:val="0"/>
          <w:szCs w:val="28"/>
        </w:rPr>
        <w:t>周边</w:t>
      </w:r>
      <w:r>
        <w:rPr>
          <w:rFonts w:cs="Times New Roman"/>
          <w:kern w:val="0"/>
          <w:szCs w:val="28"/>
        </w:rPr>
        <w:t>多为村庄</w:t>
      </w:r>
      <w:r>
        <w:rPr>
          <w:rFonts w:hint="eastAsia" w:cs="Times New Roman"/>
          <w:kern w:val="0"/>
          <w:szCs w:val="28"/>
        </w:rPr>
        <w:t>房屋区域</w:t>
      </w:r>
      <w:r>
        <w:rPr>
          <w:rFonts w:cs="Times New Roman"/>
          <w:kern w:val="0"/>
          <w:szCs w:val="28"/>
        </w:rPr>
        <w:t>，</w:t>
      </w:r>
      <w:r>
        <w:rPr>
          <w:rFonts w:hint="eastAsia" w:cs="Times New Roman"/>
          <w:kern w:val="0"/>
          <w:szCs w:val="28"/>
        </w:rPr>
        <w:t>可</w:t>
      </w:r>
      <w:r>
        <w:rPr>
          <w:rFonts w:cs="Times New Roman"/>
          <w:kern w:val="0"/>
          <w:szCs w:val="28"/>
        </w:rPr>
        <w:t>适当采取法律法规、标准规范规定的下限值。</w:t>
      </w:r>
    </w:p>
    <w:p>
      <w:pPr>
        <w:keepNext/>
        <w:keepLines/>
        <w:widowControl/>
        <w:spacing w:before="156" w:beforeLines="50" w:after="156" w:afterLines="50"/>
        <w:ind w:firstLine="0" w:firstLineChars="0"/>
        <w:outlineLvl w:val="1"/>
        <w:rPr>
          <w:rFonts w:cs="Times New Roman"/>
          <w:b/>
          <w:bCs/>
          <w:kern w:val="0"/>
          <w:sz w:val="30"/>
          <w:szCs w:val="26"/>
        </w:rPr>
      </w:pPr>
      <w:bookmarkStart w:id="31" w:name="_Toc60218860"/>
      <w:bookmarkStart w:id="32" w:name="_Toc60069220"/>
      <w:r>
        <w:rPr>
          <w:rFonts w:hint="eastAsia" w:cs="Times New Roman"/>
          <w:b/>
          <w:bCs/>
          <w:kern w:val="0"/>
          <w:sz w:val="30"/>
          <w:szCs w:val="26"/>
        </w:rPr>
        <w:t>3.2 划定</w:t>
      </w:r>
      <w:r>
        <w:rPr>
          <w:rFonts w:cs="Times New Roman"/>
          <w:b/>
          <w:bCs/>
          <w:kern w:val="0"/>
          <w:sz w:val="30"/>
          <w:szCs w:val="26"/>
        </w:rPr>
        <w:t>方法</w:t>
      </w:r>
      <w:bookmarkEnd w:id="31"/>
      <w:bookmarkEnd w:id="32"/>
    </w:p>
    <w:p>
      <w:pPr>
        <w:widowControl/>
        <w:ind w:firstLine="562"/>
        <w:rPr>
          <w:rFonts w:cs="Times New Roman"/>
          <w:b/>
          <w:kern w:val="0"/>
          <w:szCs w:val="28"/>
        </w:rPr>
      </w:pPr>
      <w:r>
        <w:rPr>
          <w:rFonts w:hint="eastAsia" w:cs="Times New Roman"/>
          <w:b/>
          <w:kern w:val="0"/>
          <w:szCs w:val="28"/>
        </w:rPr>
        <w:t>《水库工程管理设计规范》（SL106-2017）</w:t>
      </w:r>
    </w:p>
    <w:p>
      <w:pPr>
        <w:widowControl/>
        <w:ind w:firstLine="560"/>
        <w:rPr>
          <w:rFonts w:cs="Times New Roman"/>
          <w:kern w:val="0"/>
          <w:szCs w:val="28"/>
        </w:rPr>
      </w:pPr>
      <w:r>
        <w:rPr>
          <w:rFonts w:hint="eastAsia" w:cs="Times New Roman"/>
          <w:kern w:val="0"/>
          <w:szCs w:val="28"/>
        </w:rPr>
        <w:t>根据《水库工程管理设计规范》3.0.</w:t>
      </w:r>
      <w:r>
        <w:rPr>
          <w:rFonts w:cs="Times New Roman"/>
          <w:kern w:val="0"/>
          <w:szCs w:val="28"/>
        </w:rPr>
        <w:t>3</w:t>
      </w:r>
      <w:r>
        <w:rPr>
          <w:rFonts w:hint="eastAsia" w:cs="Times New Roman"/>
          <w:kern w:val="0"/>
          <w:szCs w:val="28"/>
        </w:rPr>
        <w:t>，“工程管理范围应包括工程区管理范围和运行区管理范围”、“工程区管理范围应包括大坝、溢洪道、输水道等建（构）筑物周围的管理范围和水库土地征用线以内的库区”，“中型水库大坝管理范围：上游从坝脚线向上游1</w:t>
      </w:r>
      <w:r>
        <w:rPr>
          <w:rFonts w:cs="Times New Roman"/>
          <w:kern w:val="0"/>
          <w:szCs w:val="28"/>
        </w:rPr>
        <w:t>0</w:t>
      </w:r>
      <w:r>
        <w:rPr>
          <w:rFonts w:hint="eastAsia" w:cs="Times New Roman"/>
          <w:kern w:val="0"/>
          <w:szCs w:val="28"/>
        </w:rPr>
        <w:t>0~</w:t>
      </w:r>
      <w:r>
        <w:rPr>
          <w:rFonts w:cs="Times New Roman"/>
          <w:kern w:val="0"/>
          <w:szCs w:val="28"/>
        </w:rPr>
        <w:t>15</w:t>
      </w:r>
      <w:r>
        <w:rPr>
          <w:rFonts w:hint="eastAsia" w:cs="Times New Roman"/>
          <w:kern w:val="0"/>
          <w:szCs w:val="28"/>
        </w:rPr>
        <w:t>0m，下游从坝脚线向下游</w:t>
      </w:r>
      <w:r>
        <w:rPr>
          <w:rFonts w:cs="Times New Roman"/>
          <w:kern w:val="0"/>
          <w:szCs w:val="28"/>
        </w:rPr>
        <w:t>150</w:t>
      </w:r>
      <w:r>
        <w:rPr>
          <w:rFonts w:hint="eastAsia" w:cs="Times New Roman"/>
          <w:kern w:val="0"/>
          <w:szCs w:val="28"/>
        </w:rPr>
        <w:t>~</w:t>
      </w:r>
      <w:r>
        <w:rPr>
          <w:rFonts w:cs="Times New Roman"/>
          <w:kern w:val="0"/>
          <w:szCs w:val="28"/>
        </w:rPr>
        <w:t>2</w:t>
      </w:r>
      <w:r>
        <w:rPr>
          <w:rFonts w:hint="eastAsia" w:cs="Times New Roman"/>
          <w:kern w:val="0"/>
          <w:szCs w:val="28"/>
        </w:rPr>
        <w:t>00m，左右岸从坝端外延100~</w:t>
      </w:r>
      <w:r>
        <w:rPr>
          <w:rFonts w:cs="Times New Roman"/>
          <w:kern w:val="0"/>
          <w:szCs w:val="28"/>
        </w:rPr>
        <w:t>250</w:t>
      </w:r>
      <w:r>
        <w:rPr>
          <w:rFonts w:hint="eastAsia" w:cs="Times New Roman"/>
          <w:kern w:val="0"/>
          <w:szCs w:val="28"/>
        </w:rPr>
        <w:t>；溢洪道（与水库坝体分离的）由工程两侧轮廓线或开挖边线向外50~200m，消力池以下100~300m；其他建筑物：从工程外轮廓线或开挖边线向外30~50m”。</w:t>
      </w:r>
    </w:p>
    <w:p>
      <w:pPr>
        <w:widowControl/>
        <w:ind w:firstLine="560"/>
        <w:rPr>
          <w:rFonts w:cs="Times New Roman"/>
          <w:kern w:val="0"/>
          <w:szCs w:val="28"/>
        </w:rPr>
      </w:pPr>
      <w:r>
        <w:rPr>
          <w:rFonts w:hint="eastAsia" w:cs="Times New Roman"/>
          <w:kern w:val="0"/>
          <w:szCs w:val="28"/>
        </w:rPr>
        <w:t>《水库工程管理设计规范》3.0.6，“工程保护在工程管理范围边界线外延。中型水库上、下游</w:t>
      </w:r>
      <w:r>
        <w:rPr>
          <w:rFonts w:cs="Times New Roman"/>
          <w:kern w:val="0"/>
          <w:szCs w:val="28"/>
        </w:rPr>
        <w:t>2</w:t>
      </w:r>
      <w:r>
        <w:rPr>
          <w:rFonts w:hint="eastAsia" w:cs="Times New Roman"/>
          <w:kern w:val="0"/>
          <w:szCs w:val="28"/>
        </w:rPr>
        <w:t>00~</w:t>
      </w:r>
      <w:r>
        <w:rPr>
          <w:rFonts w:cs="Times New Roman"/>
          <w:kern w:val="0"/>
          <w:szCs w:val="28"/>
        </w:rPr>
        <w:t>3</w:t>
      </w:r>
      <w:r>
        <w:rPr>
          <w:rFonts w:hint="eastAsia" w:cs="Times New Roman"/>
          <w:kern w:val="0"/>
          <w:szCs w:val="28"/>
        </w:rPr>
        <w:t>00m，两侧</w:t>
      </w:r>
      <w:r>
        <w:rPr>
          <w:rFonts w:cs="Times New Roman"/>
          <w:kern w:val="0"/>
          <w:szCs w:val="28"/>
        </w:rPr>
        <w:t>2</w:t>
      </w:r>
      <w:r>
        <w:rPr>
          <w:rFonts w:hint="eastAsia" w:cs="Times New Roman"/>
          <w:kern w:val="0"/>
          <w:szCs w:val="28"/>
        </w:rPr>
        <w:t>00~</w:t>
      </w:r>
      <w:r>
        <w:rPr>
          <w:rFonts w:cs="Times New Roman"/>
          <w:kern w:val="0"/>
          <w:szCs w:val="28"/>
        </w:rPr>
        <w:t>3</w:t>
      </w:r>
      <w:r>
        <w:rPr>
          <w:rFonts w:hint="eastAsia" w:cs="Times New Roman"/>
          <w:kern w:val="0"/>
          <w:szCs w:val="28"/>
        </w:rPr>
        <w:t>00m。水库保护范围应为坝址以上、库区两岸（包括干、支流）土地征用线以上至第一道分水岭脊线之间的路地”。</w:t>
      </w:r>
    </w:p>
    <w:p>
      <w:pPr>
        <w:widowControl/>
        <w:ind w:firstLine="562"/>
        <w:rPr>
          <w:rFonts w:cs="Times New Roman"/>
          <w:b/>
          <w:kern w:val="0"/>
          <w:szCs w:val="28"/>
        </w:rPr>
      </w:pPr>
      <w:r>
        <w:rPr>
          <w:rFonts w:hint="eastAsia" w:cs="Times New Roman"/>
          <w:b/>
          <w:kern w:val="0"/>
          <w:szCs w:val="28"/>
        </w:rPr>
        <w:t>《内蒙古自治区水工程管理和保护范围划定标准》</w:t>
      </w:r>
    </w:p>
    <w:p>
      <w:pPr>
        <w:widowControl/>
        <w:ind w:firstLine="560"/>
        <w:rPr>
          <w:rFonts w:cs="Times New Roman"/>
          <w:kern w:val="0"/>
          <w:szCs w:val="28"/>
        </w:rPr>
      </w:pPr>
      <w:r>
        <w:rPr>
          <w:rFonts w:hint="eastAsia" w:cs="Times New Roman"/>
          <w:kern w:val="0"/>
          <w:szCs w:val="28"/>
        </w:rPr>
        <w:t>根据《内蒙古自治区水工程管理和保护范围划定标准》，</w:t>
      </w:r>
      <w:r>
        <w:rPr>
          <w:rFonts w:cs="Times New Roman"/>
        </w:rPr>
        <w:t>山区</w:t>
      </w:r>
      <w:r>
        <w:rPr>
          <w:rFonts w:hint="eastAsia" w:cs="Times New Roman"/>
        </w:rPr>
        <w:t>中</w:t>
      </w:r>
      <w:r>
        <w:rPr>
          <w:rFonts w:cs="Times New Roman"/>
        </w:rPr>
        <w:t>型水库管理范围为“库区为校核洪水位以外50m，大坝坝肩以外200~300m，坝脚以下700m，附属建筑物外边缘以外100~200m”。</w:t>
      </w:r>
      <w:r>
        <w:rPr>
          <w:rFonts w:hint="eastAsia" w:cs="Times New Roman"/>
          <w:kern w:val="0"/>
          <w:szCs w:val="28"/>
        </w:rPr>
        <w:t>平原区大型水库管理范围为“库区为校核洪水位以下，大坝坝肩以外</w:t>
      </w:r>
      <w:r>
        <w:rPr>
          <w:rFonts w:cs="Times New Roman"/>
          <w:kern w:val="0"/>
          <w:szCs w:val="28"/>
        </w:rPr>
        <w:t>1</w:t>
      </w:r>
      <w:r>
        <w:rPr>
          <w:rFonts w:hint="eastAsia" w:cs="Times New Roman"/>
          <w:kern w:val="0"/>
          <w:szCs w:val="28"/>
        </w:rPr>
        <w:t>00~</w:t>
      </w:r>
      <w:r>
        <w:rPr>
          <w:rFonts w:cs="Times New Roman"/>
          <w:kern w:val="0"/>
          <w:szCs w:val="28"/>
        </w:rPr>
        <w:t>2</w:t>
      </w:r>
      <w:r>
        <w:rPr>
          <w:rFonts w:hint="eastAsia" w:cs="Times New Roman"/>
          <w:kern w:val="0"/>
          <w:szCs w:val="28"/>
        </w:rPr>
        <w:t>00m，坝脚以下</w:t>
      </w:r>
      <w:r>
        <w:rPr>
          <w:rFonts w:cs="Times New Roman"/>
          <w:kern w:val="0"/>
          <w:szCs w:val="28"/>
        </w:rPr>
        <w:t>5</w:t>
      </w:r>
      <w:r>
        <w:rPr>
          <w:rFonts w:hint="eastAsia" w:cs="Times New Roman"/>
          <w:kern w:val="0"/>
          <w:szCs w:val="28"/>
        </w:rPr>
        <w:t>00m，附属建筑物外边缘以外</w:t>
      </w:r>
      <w:r>
        <w:rPr>
          <w:rFonts w:cs="Times New Roman"/>
          <w:kern w:val="0"/>
          <w:szCs w:val="28"/>
        </w:rPr>
        <w:t>10</w:t>
      </w:r>
      <w:r>
        <w:rPr>
          <w:rFonts w:hint="eastAsia" w:cs="Times New Roman"/>
          <w:kern w:val="0"/>
          <w:szCs w:val="28"/>
        </w:rPr>
        <w:t>0~</w:t>
      </w:r>
      <w:r>
        <w:rPr>
          <w:rFonts w:cs="Times New Roman"/>
          <w:kern w:val="0"/>
          <w:szCs w:val="28"/>
        </w:rPr>
        <w:t>2</w:t>
      </w:r>
      <w:r>
        <w:rPr>
          <w:rFonts w:hint="eastAsia" w:cs="Times New Roman"/>
          <w:kern w:val="0"/>
          <w:szCs w:val="28"/>
        </w:rPr>
        <w:t>00m”。</w:t>
      </w:r>
    </w:p>
    <w:p>
      <w:pPr>
        <w:widowControl/>
        <w:ind w:firstLine="560"/>
        <w:rPr>
          <w:rFonts w:cs="Times New Roman"/>
          <w:kern w:val="0"/>
          <w:szCs w:val="28"/>
        </w:rPr>
      </w:pPr>
      <w:r>
        <w:rPr>
          <w:rFonts w:hint="eastAsia" w:cs="Times New Roman"/>
          <w:kern w:val="0"/>
          <w:szCs w:val="28"/>
        </w:rPr>
        <w:t>中型水库保护范围为“库区保护范围为管理范围以外</w:t>
      </w:r>
      <w:r>
        <w:rPr>
          <w:rFonts w:cs="Times New Roman"/>
          <w:kern w:val="0"/>
          <w:szCs w:val="28"/>
        </w:rPr>
        <w:t>5</w:t>
      </w:r>
      <w:r>
        <w:rPr>
          <w:rFonts w:hint="eastAsia" w:cs="Times New Roman"/>
          <w:kern w:val="0"/>
          <w:szCs w:val="28"/>
        </w:rPr>
        <w:t>0m，大坝保护范围为管理范围以外</w:t>
      </w:r>
      <w:r>
        <w:rPr>
          <w:rFonts w:cs="Times New Roman"/>
          <w:kern w:val="0"/>
          <w:szCs w:val="28"/>
        </w:rPr>
        <w:t>1</w:t>
      </w:r>
      <w:r>
        <w:rPr>
          <w:rFonts w:hint="eastAsia" w:cs="Times New Roman"/>
          <w:kern w:val="0"/>
          <w:szCs w:val="28"/>
        </w:rPr>
        <w:t>00~</w:t>
      </w:r>
      <w:r>
        <w:rPr>
          <w:rFonts w:cs="Times New Roman"/>
          <w:kern w:val="0"/>
          <w:szCs w:val="28"/>
        </w:rPr>
        <w:t>2</w:t>
      </w:r>
      <w:r>
        <w:rPr>
          <w:rFonts w:hint="eastAsia" w:cs="Times New Roman"/>
          <w:kern w:val="0"/>
          <w:szCs w:val="28"/>
        </w:rPr>
        <w:t>00m，下游保护范围为管理范围以外</w:t>
      </w:r>
      <w:r>
        <w:rPr>
          <w:rFonts w:cs="Times New Roman"/>
          <w:kern w:val="0"/>
          <w:szCs w:val="28"/>
        </w:rPr>
        <w:t>2</w:t>
      </w:r>
      <w:r>
        <w:rPr>
          <w:rFonts w:hint="eastAsia" w:cs="Times New Roman"/>
          <w:kern w:val="0"/>
          <w:szCs w:val="28"/>
        </w:rPr>
        <w:t>00~</w:t>
      </w:r>
      <w:r>
        <w:rPr>
          <w:rFonts w:cs="Times New Roman"/>
          <w:kern w:val="0"/>
          <w:szCs w:val="28"/>
        </w:rPr>
        <w:t>3</w:t>
      </w:r>
      <w:r>
        <w:rPr>
          <w:rFonts w:hint="eastAsia" w:cs="Times New Roman"/>
          <w:kern w:val="0"/>
          <w:szCs w:val="28"/>
        </w:rPr>
        <w:t>00m，附属建筑物保护范围为管理范围以外</w:t>
      </w:r>
      <w:r>
        <w:rPr>
          <w:rFonts w:cs="Times New Roman"/>
          <w:kern w:val="0"/>
          <w:szCs w:val="28"/>
        </w:rPr>
        <w:t>3</w:t>
      </w:r>
      <w:r>
        <w:rPr>
          <w:rFonts w:hint="eastAsia" w:cs="Times New Roman"/>
          <w:kern w:val="0"/>
          <w:szCs w:val="28"/>
        </w:rPr>
        <w:t>00~</w:t>
      </w:r>
      <w:r>
        <w:rPr>
          <w:rFonts w:cs="Times New Roman"/>
          <w:kern w:val="0"/>
          <w:szCs w:val="28"/>
        </w:rPr>
        <w:t>5</w:t>
      </w:r>
      <w:r>
        <w:rPr>
          <w:rFonts w:hint="eastAsia" w:cs="Times New Roman"/>
          <w:kern w:val="0"/>
          <w:szCs w:val="28"/>
        </w:rPr>
        <w:t>00m”。</w:t>
      </w:r>
    </w:p>
    <w:p>
      <w:pPr>
        <w:widowControl/>
        <w:ind w:firstLine="562"/>
        <w:rPr>
          <w:rFonts w:cs="Times New Roman"/>
          <w:b/>
          <w:kern w:val="0"/>
          <w:szCs w:val="28"/>
        </w:rPr>
      </w:pPr>
      <w:r>
        <w:rPr>
          <w:rFonts w:hint="eastAsia" w:cs="Times New Roman"/>
          <w:b/>
          <w:color w:val="000000"/>
          <w:szCs w:val="24"/>
        </w:rPr>
        <w:t>《内蒙古呼和浩特市哈拉沁水库初步设计报告》</w:t>
      </w:r>
    </w:p>
    <w:p>
      <w:pPr>
        <w:snapToGrid w:val="0"/>
        <w:spacing w:line="550" w:lineRule="exact"/>
        <w:ind w:firstLine="560"/>
        <w:rPr>
          <w:rFonts w:ascii="宋体" w:hAnsi="宋体"/>
          <w:szCs w:val="28"/>
        </w:rPr>
      </w:pPr>
      <w:bookmarkStart w:id="33" w:name="_Hlk25223463"/>
      <w:r>
        <w:rPr>
          <w:rFonts w:hint="eastAsia" w:cs="Times New Roman"/>
          <w:color w:val="000000"/>
          <w:szCs w:val="24"/>
        </w:rPr>
        <w:t>根据</w:t>
      </w:r>
      <w:r>
        <w:rPr>
          <w:rFonts w:cs="Times New Roman"/>
          <w:color w:val="000000"/>
          <w:szCs w:val="24"/>
        </w:rPr>
        <w:t>《初步设计报告》</w:t>
      </w:r>
      <w:bookmarkEnd w:id="33"/>
      <w:r>
        <w:rPr>
          <w:rFonts w:hint="eastAsia" w:cs="Times New Roman"/>
          <w:color w:val="000000"/>
        </w:rPr>
        <w:t>中</w:t>
      </w:r>
      <w:r>
        <w:rPr>
          <w:rFonts w:hint="eastAsia" w:ascii="宋体" w:hAnsi="宋体"/>
          <w:szCs w:val="28"/>
        </w:rPr>
        <w:t>主体建筑物以大坝轴线中心向上300米向下各250米为工程管理范围，占地0.81k</w:t>
      </w:r>
      <w:r>
        <w:rPr>
          <w:rFonts w:hint="eastAsia" w:ascii="宋体" w:hAnsi="宋体" w:cs="宋体"/>
          <w:szCs w:val="28"/>
        </w:rPr>
        <w:t>㎡</w:t>
      </w:r>
      <w:r>
        <w:rPr>
          <w:rFonts w:hint="eastAsia" w:ascii="宋体" w:hAnsi="宋体"/>
          <w:szCs w:val="28"/>
        </w:rPr>
        <w:t>。</w:t>
      </w:r>
    </w:p>
    <w:p>
      <w:pPr>
        <w:snapToGrid w:val="0"/>
        <w:spacing w:line="550" w:lineRule="exact"/>
        <w:ind w:firstLine="560"/>
        <w:rPr>
          <w:rFonts w:ascii="宋体" w:hAnsi="宋体" w:cs="宋体"/>
          <w:szCs w:val="28"/>
        </w:rPr>
      </w:pPr>
      <w:r>
        <w:rPr>
          <w:rFonts w:hint="eastAsia" w:ascii="宋体" w:hAnsi="宋体"/>
          <w:szCs w:val="28"/>
        </w:rPr>
        <w:t>管理局及生活区以建筑物外墙外5米为界，占地约1万</w:t>
      </w:r>
      <w:r>
        <w:rPr>
          <w:rFonts w:hint="eastAsia" w:ascii="宋体" w:hAnsi="宋体" w:cs="宋体"/>
          <w:szCs w:val="28"/>
        </w:rPr>
        <w:t>㎡（0.01k㎡）。</w:t>
      </w:r>
    </w:p>
    <w:p>
      <w:pPr>
        <w:snapToGrid w:val="0"/>
        <w:spacing w:line="550" w:lineRule="exact"/>
        <w:ind w:firstLine="560"/>
        <w:rPr>
          <w:rFonts w:ascii="宋体" w:hAnsi="宋体" w:cs="宋体"/>
          <w:szCs w:val="28"/>
        </w:rPr>
      </w:pPr>
      <w:r>
        <w:rPr>
          <w:rFonts w:hint="eastAsia" w:ascii="宋体" w:hAnsi="宋体" w:cs="宋体"/>
          <w:szCs w:val="28"/>
        </w:rPr>
        <w:t>水库公路：以路中心线向两侧各50米为管理范围，占地0.9k㎡。</w:t>
      </w:r>
    </w:p>
    <w:p>
      <w:pPr>
        <w:snapToGrid w:val="0"/>
        <w:spacing w:line="550" w:lineRule="exact"/>
        <w:ind w:firstLine="560"/>
        <w:rPr>
          <w:rFonts w:ascii="宋体" w:hAnsi="宋体" w:cs="宋体"/>
          <w:szCs w:val="28"/>
        </w:rPr>
      </w:pPr>
      <w:r>
        <w:rPr>
          <w:rFonts w:hint="eastAsia" w:ascii="宋体" w:hAnsi="宋体" w:cs="宋体"/>
          <w:szCs w:val="28"/>
        </w:rPr>
        <w:t>水库库区：按正常高水位线向外50米，占地4k㎡。</w:t>
      </w:r>
    </w:p>
    <w:p>
      <w:pPr>
        <w:snapToGrid w:val="0"/>
        <w:spacing w:line="550" w:lineRule="exact"/>
        <w:ind w:firstLine="560"/>
        <w:rPr>
          <w:rFonts w:ascii="宋体" w:hAnsi="宋体" w:cs="宋体"/>
          <w:szCs w:val="28"/>
        </w:rPr>
      </w:pPr>
      <w:r>
        <w:rPr>
          <w:rFonts w:hint="eastAsia" w:ascii="宋体" w:hAnsi="宋体" w:cs="宋体"/>
          <w:szCs w:val="28"/>
        </w:rPr>
        <w:t>以上工程管理范围合5.7k㎡。</w:t>
      </w:r>
    </w:p>
    <w:p>
      <w:pPr>
        <w:snapToGrid w:val="0"/>
        <w:spacing w:line="550" w:lineRule="exact"/>
        <w:ind w:firstLine="560"/>
        <w:rPr>
          <w:rFonts w:ascii="宋体" w:hAnsi="宋体" w:cs="宋体"/>
          <w:szCs w:val="28"/>
        </w:rPr>
      </w:pPr>
      <w:r>
        <w:rPr>
          <w:rFonts w:hint="eastAsia" w:ascii="宋体" w:hAnsi="宋体" w:cs="宋体"/>
          <w:szCs w:val="28"/>
        </w:rPr>
        <w:t>生产生活区管理范围为1万㎡。</w:t>
      </w:r>
    </w:p>
    <w:p>
      <w:pPr>
        <w:widowControl/>
        <w:ind w:firstLine="560"/>
        <w:rPr>
          <w:rFonts w:cs="Times New Roman"/>
          <w:color w:val="000000"/>
          <w:szCs w:val="24"/>
        </w:rPr>
      </w:pPr>
      <w:r>
        <w:rPr>
          <w:rFonts w:hint="eastAsia" w:cs="Times New Roman"/>
          <w:color w:val="000000"/>
          <w:szCs w:val="24"/>
        </w:rPr>
        <w:t>以上设计未完成划界，哈拉沁水库施工工期较长，在施工过程中水库周边环境变化较大，而且原设计依据的规范早已更新，现已无法执行。本次划界主要依据《内蒙古自治区水工程管理和保护范围规划标准》规划管理和保护范围，按中型水库规模标准，确定哈拉沁水库具体的界数据。</w:t>
      </w:r>
      <w:r>
        <w:rPr>
          <w:rFonts w:hint="eastAsia"/>
        </w:rPr>
        <w:t>，即</w:t>
      </w:r>
      <w:r>
        <w:rPr>
          <w:rFonts w:cs="Times New Roman"/>
          <w:color w:val="000000"/>
          <w:szCs w:val="24"/>
        </w:rPr>
        <w:t>：</w:t>
      </w:r>
      <w:r>
        <w:rPr>
          <w:rFonts w:hint="eastAsia" w:cs="Times New Roman"/>
          <w:color w:val="000000"/>
          <w:szCs w:val="24"/>
        </w:rPr>
        <w:t>库区管理范围为校核洪水位</w:t>
      </w:r>
      <w:r>
        <w:rPr>
          <w:rFonts w:cs="Times New Roman"/>
          <w:color w:val="000000"/>
          <w:szCs w:val="24"/>
        </w:rPr>
        <w:t>1452.82</w:t>
      </w:r>
      <w:r>
        <w:rPr>
          <w:rFonts w:hint="eastAsia" w:cs="Times New Roman"/>
          <w:color w:val="000000"/>
          <w:szCs w:val="24"/>
        </w:rPr>
        <w:t>m以外</w:t>
      </w:r>
      <w:r>
        <w:rPr>
          <w:rFonts w:cs="Times New Roman"/>
          <w:color w:val="000000"/>
          <w:szCs w:val="24"/>
        </w:rPr>
        <w:t>5</w:t>
      </w:r>
      <w:r>
        <w:rPr>
          <w:rFonts w:hint="eastAsia" w:cs="Times New Roman"/>
          <w:color w:val="000000"/>
          <w:szCs w:val="24"/>
        </w:rPr>
        <w:t>0m，大坝坝肩以外</w:t>
      </w:r>
      <w:r>
        <w:rPr>
          <w:rFonts w:cs="Times New Roman"/>
          <w:color w:val="000000"/>
          <w:szCs w:val="24"/>
        </w:rPr>
        <w:t>3</w:t>
      </w:r>
      <w:r>
        <w:rPr>
          <w:rFonts w:hint="eastAsia" w:cs="Times New Roman"/>
          <w:color w:val="000000"/>
          <w:szCs w:val="24"/>
        </w:rPr>
        <w:t>00m，坝脚以下</w:t>
      </w:r>
      <w:r>
        <w:rPr>
          <w:rFonts w:cs="Times New Roman"/>
          <w:color w:val="000000"/>
          <w:szCs w:val="24"/>
        </w:rPr>
        <w:t>7</w:t>
      </w:r>
      <w:r>
        <w:rPr>
          <w:rFonts w:hint="eastAsia" w:cs="Times New Roman"/>
          <w:color w:val="000000"/>
          <w:szCs w:val="24"/>
        </w:rPr>
        <w:t>00m，附属建筑物外边缘以外200m。泄洪洞等建筑物管理范围已包含在管理范围内，不再单独考虑</w:t>
      </w:r>
      <w:r>
        <w:rPr>
          <w:rFonts w:cs="Times New Roman"/>
          <w:color w:val="000000"/>
          <w:szCs w:val="24"/>
        </w:rPr>
        <w:t>。</w:t>
      </w:r>
    </w:p>
    <w:p>
      <w:pPr>
        <w:widowControl/>
        <w:ind w:firstLine="560"/>
        <w:rPr>
          <w:rFonts w:cs="Times New Roman"/>
          <w:kern w:val="0"/>
          <w:szCs w:val="28"/>
        </w:rPr>
      </w:pPr>
      <w:r>
        <w:rPr>
          <w:rFonts w:hint="eastAsia" w:cs="Times New Roman"/>
          <w:color w:val="000000"/>
          <w:szCs w:val="24"/>
        </w:rPr>
        <w:t>哈拉沁水库保护</w:t>
      </w:r>
      <w:r>
        <w:rPr>
          <w:rFonts w:cs="Times New Roman"/>
          <w:color w:val="000000"/>
          <w:szCs w:val="24"/>
        </w:rPr>
        <w:t>范围为：</w:t>
      </w:r>
      <w:r>
        <w:rPr>
          <w:rFonts w:hint="eastAsia" w:cs="Times New Roman"/>
          <w:kern w:val="0"/>
          <w:szCs w:val="28"/>
        </w:rPr>
        <w:t>库区保护范围为管理范围以外</w:t>
      </w:r>
      <w:r>
        <w:rPr>
          <w:rFonts w:cs="Times New Roman"/>
          <w:kern w:val="0"/>
          <w:szCs w:val="28"/>
        </w:rPr>
        <w:t>5</w:t>
      </w:r>
      <w:r>
        <w:rPr>
          <w:rFonts w:hint="eastAsia" w:cs="Times New Roman"/>
          <w:kern w:val="0"/>
          <w:szCs w:val="28"/>
        </w:rPr>
        <w:t>0m，大坝保护范围为管理范围以外</w:t>
      </w:r>
      <w:r>
        <w:rPr>
          <w:rFonts w:cs="Times New Roman"/>
          <w:kern w:val="0"/>
          <w:szCs w:val="28"/>
        </w:rPr>
        <w:t>2</w:t>
      </w:r>
      <w:r>
        <w:rPr>
          <w:rFonts w:hint="eastAsia" w:cs="Times New Roman"/>
          <w:kern w:val="0"/>
          <w:szCs w:val="28"/>
        </w:rPr>
        <w:t>00m，下游保护范围为管理范围以外</w:t>
      </w:r>
      <w:r>
        <w:rPr>
          <w:rFonts w:cs="Times New Roman"/>
          <w:kern w:val="0"/>
          <w:szCs w:val="28"/>
        </w:rPr>
        <w:t>3</w:t>
      </w:r>
      <w:r>
        <w:rPr>
          <w:rFonts w:hint="eastAsia" w:cs="Times New Roman"/>
          <w:kern w:val="0"/>
          <w:szCs w:val="28"/>
        </w:rPr>
        <w:t>00m，附属建筑物保护范围为管理范围以外</w:t>
      </w:r>
      <w:r>
        <w:rPr>
          <w:rFonts w:cs="Times New Roman"/>
          <w:kern w:val="0"/>
          <w:szCs w:val="28"/>
        </w:rPr>
        <w:t>2</w:t>
      </w:r>
      <w:r>
        <w:rPr>
          <w:rFonts w:hint="eastAsia" w:cs="Times New Roman"/>
          <w:kern w:val="0"/>
          <w:szCs w:val="28"/>
        </w:rPr>
        <w:t>00m。</w:t>
      </w:r>
    </w:p>
    <w:p>
      <w:pPr>
        <w:widowControl/>
        <w:ind w:firstLine="0" w:firstLineChars="0"/>
        <w:jc w:val="center"/>
        <w:rPr>
          <w:rFonts w:hint="eastAsia" w:cs="Times New Roman"/>
          <w:color w:val="000000"/>
          <w:szCs w:val="24"/>
        </w:rPr>
      </w:pPr>
      <w:r>
        <w:drawing>
          <wp:inline distT="0" distB="0" distL="0" distR="0">
            <wp:extent cx="3914775" cy="56388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a:stretch>
                      <a:fillRect/>
                    </a:stretch>
                  </pic:blipFill>
                  <pic:spPr>
                    <a:xfrm>
                      <a:off x="0" y="0"/>
                      <a:ext cx="3914775" cy="5638800"/>
                    </a:xfrm>
                    <a:prstGeom prst="rect">
                      <a:avLst/>
                    </a:prstGeom>
                  </pic:spPr>
                </pic:pic>
              </a:graphicData>
            </a:graphic>
          </wp:inline>
        </w:drawing>
      </w:r>
    </w:p>
    <w:p>
      <w:pPr>
        <w:widowControl/>
        <w:spacing w:before="156" w:beforeLines="50" w:after="156" w:afterLines="50"/>
        <w:ind w:firstLine="0" w:firstLineChars="0"/>
        <w:jc w:val="center"/>
        <w:rPr>
          <w:rFonts w:cs="Times New Roman"/>
          <w:b/>
          <w:color w:val="000000"/>
          <w:szCs w:val="24"/>
        </w:rPr>
      </w:pPr>
      <w:r>
        <w:rPr>
          <w:rFonts w:hint="eastAsia" w:cs="Times New Roman"/>
          <w:b/>
          <w:color w:val="000000"/>
          <w:szCs w:val="24"/>
        </w:rPr>
        <w:t>图3-2</w:t>
      </w:r>
      <w:r>
        <w:rPr>
          <w:rFonts w:hint="eastAsia" w:cs="Times New Roman"/>
          <w:b/>
          <w:szCs w:val="28"/>
        </w:rPr>
        <w:t xml:space="preserve"> 哈拉沁</w:t>
      </w:r>
      <w:r>
        <w:rPr>
          <w:rFonts w:cs="Times New Roman"/>
          <w:b/>
          <w:color w:val="000000"/>
          <w:szCs w:val="28"/>
        </w:rPr>
        <w:t>水库管理范围</w:t>
      </w:r>
      <w:r>
        <w:rPr>
          <w:rFonts w:hint="eastAsia" w:cs="Times New Roman"/>
          <w:b/>
          <w:color w:val="000000"/>
          <w:szCs w:val="28"/>
        </w:rPr>
        <w:t>和保护范围划界平面</w:t>
      </w:r>
      <w:r>
        <w:rPr>
          <w:rFonts w:cs="Times New Roman"/>
          <w:b/>
          <w:szCs w:val="28"/>
        </w:rPr>
        <w:t>示意图</w:t>
      </w:r>
    </w:p>
    <w:p>
      <w:pPr>
        <w:widowControl/>
        <w:ind w:firstLine="602"/>
        <w:rPr>
          <w:rFonts w:cs="Times New Roman"/>
          <w:b/>
          <w:bCs/>
          <w:kern w:val="0"/>
          <w:sz w:val="30"/>
          <w:szCs w:val="26"/>
        </w:rPr>
      </w:pPr>
    </w:p>
    <w:p>
      <w:pPr>
        <w:widowControl/>
        <w:ind w:firstLine="602"/>
        <w:rPr>
          <w:rFonts w:cs="Times New Roman"/>
          <w:b/>
          <w:bCs/>
          <w:kern w:val="0"/>
          <w:sz w:val="30"/>
          <w:szCs w:val="26"/>
        </w:rPr>
      </w:pPr>
    </w:p>
    <w:p>
      <w:pPr>
        <w:widowControl/>
        <w:ind w:firstLine="602"/>
        <w:rPr>
          <w:rFonts w:cs="Times New Roman"/>
          <w:b/>
          <w:bCs/>
          <w:kern w:val="0"/>
          <w:sz w:val="30"/>
          <w:szCs w:val="26"/>
        </w:rPr>
        <w:sectPr>
          <w:headerReference r:id="rId23" w:type="default"/>
          <w:footerReference r:id="rId24" w:type="default"/>
          <w:pgSz w:w="11906" w:h="16838"/>
          <w:pgMar w:top="1440" w:right="1800" w:bottom="1440" w:left="1800" w:header="851" w:footer="992" w:gutter="0"/>
          <w:cols w:space="425" w:num="1"/>
          <w:docGrid w:type="lines" w:linePitch="312" w:charSpace="0"/>
        </w:sectPr>
      </w:pPr>
    </w:p>
    <w:p>
      <w:pPr>
        <w:pStyle w:val="2"/>
        <w:spacing w:before="156" w:after="156"/>
      </w:pPr>
      <w:bookmarkStart w:id="34" w:name="_Toc60218861"/>
      <w:r>
        <w:rPr>
          <w:rFonts w:hint="eastAsia"/>
        </w:rPr>
        <w:t xml:space="preserve">第四章 </w:t>
      </w:r>
      <w:r>
        <w:t xml:space="preserve"> </w:t>
      </w:r>
      <w:r>
        <w:rPr>
          <w:rFonts w:hint="eastAsia"/>
        </w:rPr>
        <w:t>管理范围和保护范围划定</w:t>
      </w:r>
      <w:bookmarkEnd w:id="34"/>
    </w:p>
    <w:p>
      <w:pPr>
        <w:ind w:firstLine="560"/>
      </w:pPr>
      <w:r>
        <w:rPr>
          <w:rFonts w:hint="eastAsia"/>
        </w:rPr>
        <w:t>依据第三章管理与保护范围划定方法，划定呼和浩特市哈拉沁水库管理和保护范围。其中划定管理范围面积为</w:t>
      </w:r>
      <w:r>
        <w:t>7623</w:t>
      </w:r>
      <w:r>
        <w:rPr>
          <w:rFonts w:hint="eastAsia"/>
        </w:rPr>
        <w:t>亩，保护范围面积内面积为</w:t>
      </w:r>
      <w:r>
        <w:t>9599</w:t>
      </w:r>
      <w:r>
        <w:rPr>
          <w:rFonts w:hint="eastAsia"/>
        </w:rPr>
        <w:t>亩，减去管理范围面积，保护范围面积为</w:t>
      </w:r>
      <w:r>
        <w:t>1976</w:t>
      </w:r>
      <w:r>
        <w:rPr>
          <w:rFonts w:hint="eastAsia"/>
        </w:rPr>
        <w:t>亩。</w:t>
      </w:r>
    </w:p>
    <w:p>
      <w:pPr>
        <w:ind w:firstLine="560"/>
      </w:pPr>
    </w:p>
    <w:p>
      <w:pPr>
        <w:ind w:firstLine="560"/>
      </w:pPr>
    </w:p>
    <w:p>
      <w:pPr>
        <w:ind w:firstLine="560"/>
        <w:sectPr>
          <w:headerReference r:id="rId25" w:type="default"/>
          <w:footerReference r:id="rId26" w:type="default"/>
          <w:pgSz w:w="11906" w:h="16838"/>
          <w:pgMar w:top="1440" w:right="1800" w:bottom="1440" w:left="1800" w:header="851" w:footer="992" w:gutter="0"/>
          <w:cols w:space="425" w:num="1"/>
          <w:docGrid w:type="lines" w:linePitch="312" w:charSpace="0"/>
        </w:sectPr>
      </w:pPr>
    </w:p>
    <w:p>
      <w:pPr>
        <w:pStyle w:val="61"/>
        <w:spacing w:before="190" w:after="190"/>
        <w:ind w:firstLine="0"/>
        <w:rPr>
          <w:rFonts w:cs="Times New Roman"/>
          <w:sz w:val="28"/>
          <w:szCs w:val="28"/>
        </w:rPr>
      </w:pPr>
      <w:r>
        <w:rPr>
          <w:rFonts w:cs="Times New Roman"/>
          <w:sz w:val="28"/>
          <w:szCs w:val="28"/>
        </w:rPr>
        <w:t>表</w:t>
      </w:r>
      <w:r>
        <w:rPr>
          <w:rFonts w:hint="eastAsia" w:cs="Times New Roman"/>
          <w:sz w:val="28"/>
          <w:szCs w:val="28"/>
        </w:rPr>
        <w:t>4-1</w:t>
      </w:r>
      <w:r>
        <w:rPr>
          <w:rFonts w:cs="Times New Roman"/>
          <w:sz w:val="28"/>
          <w:szCs w:val="28"/>
        </w:rPr>
        <w:t xml:space="preserve">  </w:t>
      </w:r>
      <w:r>
        <w:rPr>
          <w:rFonts w:hint="eastAsia" w:cs="Times New Roman"/>
          <w:sz w:val="28"/>
          <w:szCs w:val="28"/>
        </w:rPr>
        <w:t>哈拉沁</w:t>
      </w:r>
      <w:r>
        <w:rPr>
          <w:rFonts w:cs="Times New Roman"/>
          <w:sz w:val="28"/>
          <w:szCs w:val="28"/>
        </w:rPr>
        <w:t>水库管理范围线划定成果表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338"/>
        <w:gridCol w:w="1233"/>
        <w:gridCol w:w="1338"/>
        <w:gridCol w:w="1233"/>
        <w:gridCol w:w="757"/>
        <w:gridCol w:w="955"/>
        <w:gridCol w:w="1242"/>
        <w:gridCol w:w="2166"/>
        <w:gridCol w:w="175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trPr>
        <w:tc>
          <w:tcPr>
            <w:tcW w:w="233"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名称</w:t>
            </w:r>
          </w:p>
        </w:tc>
        <w:tc>
          <w:tcPr>
            <w:tcW w:w="907" w:type="pct"/>
            <w:gridSpan w:val="2"/>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起始坐标</w:t>
            </w:r>
          </w:p>
        </w:tc>
        <w:tc>
          <w:tcPr>
            <w:tcW w:w="907" w:type="pct"/>
            <w:gridSpan w:val="2"/>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终点坐标</w:t>
            </w:r>
          </w:p>
        </w:tc>
        <w:tc>
          <w:tcPr>
            <w:tcW w:w="267"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岸别</w:t>
            </w:r>
          </w:p>
        </w:tc>
        <w:tc>
          <w:tcPr>
            <w:tcW w:w="337"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河道长度（m)</w:t>
            </w:r>
          </w:p>
        </w:tc>
        <w:tc>
          <w:tcPr>
            <w:tcW w:w="438"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管理边界线长度（m）</w:t>
            </w:r>
          </w:p>
        </w:tc>
        <w:tc>
          <w:tcPr>
            <w:tcW w:w="764"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划分方法</w:t>
            </w:r>
          </w:p>
        </w:tc>
        <w:tc>
          <w:tcPr>
            <w:tcW w:w="618"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划分依据</w:t>
            </w:r>
          </w:p>
        </w:tc>
        <w:tc>
          <w:tcPr>
            <w:tcW w:w="529" w:type="pct"/>
            <w:vMerge w:val="restart"/>
            <w:shd w:val="clear" w:color="auto" w:fill="auto"/>
            <w:noWrap/>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trPr>
        <w:tc>
          <w:tcPr>
            <w:tcW w:w="233"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472"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X</w:t>
            </w:r>
          </w:p>
        </w:tc>
        <w:tc>
          <w:tcPr>
            <w:tcW w:w="435"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Y</w:t>
            </w:r>
          </w:p>
        </w:tc>
        <w:tc>
          <w:tcPr>
            <w:tcW w:w="472"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X</w:t>
            </w:r>
          </w:p>
        </w:tc>
        <w:tc>
          <w:tcPr>
            <w:tcW w:w="435" w:type="pc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Y</w:t>
            </w:r>
          </w:p>
        </w:tc>
        <w:tc>
          <w:tcPr>
            <w:tcW w:w="267"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337"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438"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764"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618" w:type="pct"/>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529" w:type="pct"/>
            <w:vMerge w:val="continue"/>
            <w:shd w:val="clear" w:color="auto" w:fill="auto"/>
            <w:noWrap/>
            <w:vAlign w:val="center"/>
          </w:tcPr>
          <w:p>
            <w:pPr>
              <w:spacing w:line="240" w:lineRule="auto"/>
              <w:ind w:firstLine="0" w:firstLineChars="0"/>
              <w:jc w:val="center"/>
              <w:rPr>
                <w:rFonts w:cs="Times New Roman"/>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233" w:type="pct"/>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哈拉沁水库库区段</w:t>
            </w: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4545099.63</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558055.48</w:t>
            </w: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4540843.71</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557980.18</w:t>
            </w:r>
          </w:p>
        </w:tc>
        <w:tc>
          <w:tcPr>
            <w:tcW w:w="267" w:type="pct"/>
            <w:shd w:val="clear" w:color="auto" w:fill="auto"/>
            <w:vAlign w:val="center"/>
          </w:tcPr>
          <w:p>
            <w:pPr>
              <w:pStyle w:val="64"/>
              <w:rPr>
                <w:rFonts w:eastAsia="宋体" w:cs="Times New Roman"/>
                <w:szCs w:val="21"/>
              </w:rPr>
            </w:pPr>
            <w:r>
              <w:rPr>
                <w:rFonts w:eastAsia="宋体" w:cs="Times New Roman"/>
                <w:szCs w:val="21"/>
              </w:rPr>
              <w:t>右岸</w:t>
            </w:r>
          </w:p>
        </w:tc>
        <w:tc>
          <w:tcPr>
            <w:tcW w:w="337" w:type="pct"/>
            <w:vMerge w:val="restart"/>
            <w:shd w:val="clear" w:color="auto" w:fill="auto"/>
            <w:noWrap/>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6482</w:t>
            </w:r>
          </w:p>
        </w:tc>
        <w:tc>
          <w:tcPr>
            <w:tcW w:w="438" w:type="pct"/>
            <w:shd w:val="clear" w:color="auto" w:fill="auto"/>
            <w:noWrap/>
            <w:vAlign w:val="center"/>
          </w:tcPr>
          <w:p>
            <w:pPr>
              <w:pStyle w:val="64"/>
              <w:rPr>
                <w:rFonts w:eastAsia="宋体" w:cs="Times New Roman"/>
                <w:szCs w:val="21"/>
              </w:rPr>
            </w:pPr>
            <w:r>
              <w:rPr>
                <w:rFonts w:eastAsia="宋体" w:cs="Times New Roman"/>
                <w:szCs w:val="21"/>
              </w:rPr>
              <w:t>5186</w:t>
            </w:r>
          </w:p>
        </w:tc>
        <w:tc>
          <w:tcPr>
            <w:tcW w:w="764" w:type="pct"/>
            <w:vMerge w:val="restart"/>
            <w:shd w:val="clear" w:color="auto" w:fill="auto"/>
            <w:vAlign w:val="center"/>
          </w:tcPr>
          <w:p>
            <w:pPr>
              <w:pStyle w:val="64"/>
              <w:rPr>
                <w:rFonts w:eastAsia="宋体" w:cs="Times New Roman"/>
                <w:szCs w:val="21"/>
              </w:rPr>
            </w:pPr>
            <w:r>
              <w:rPr>
                <w:rFonts w:eastAsia="宋体" w:cs="Times New Roman"/>
                <w:szCs w:val="21"/>
              </w:rPr>
              <w:t>库区管理范围为校核洪水位1452.82m以外50m，大坝坝肩以外300m，坝脚以下</w:t>
            </w:r>
            <w:r>
              <w:rPr>
                <w:rFonts w:hint="eastAsia" w:eastAsia="宋体" w:cs="Times New Roman"/>
                <w:szCs w:val="21"/>
              </w:rPr>
              <w:t>7</w:t>
            </w:r>
            <w:r>
              <w:rPr>
                <w:rFonts w:eastAsia="宋体" w:cs="Times New Roman"/>
                <w:szCs w:val="21"/>
              </w:rPr>
              <w:t>00m，附属建筑物外边缘以外200m。</w:t>
            </w:r>
          </w:p>
        </w:tc>
        <w:tc>
          <w:tcPr>
            <w:tcW w:w="618" w:type="pct"/>
            <w:vMerge w:val="restart"/>
            <w:shd w:val="clear" w:color="auto" w:fill="auto"/>
            <w:vAlign w:val="center"/>
          </w:tcPr>
          <w:p>
            <w:pPr>
              <w:spacing w:line="240" w:lineRule="auto"/>
              <w:ind w:firstLine="0" w:firstLineChars="0"/>
              <w:jc w:val="center"/>
              <w:rPr>
                <w:rFonts w:cs="Times New Roman"/>
                <w:color w:val="000000"/>
                <w:sz w:val="21"/>
                <w:szCs w:val="21"/>
              </w:rPr>
            </w:pPr>
            <w:r>
              <w:rPr>
                <w:rFonts w:cs="Times New Roman"/>
                <w:sz w:val="21"/>
                <w:szCs w:val="21"/>
              </w:rPr>
              <w:t>《内蒙古自治区水工程管理和保护范围划定标准》中的山区</w:t>
            </w:r>
            <w:r>
              <w:rPr>
                <w:rFonts w:hint="eastAsia" w:cs="Times New Roman"/>
                <w:sz w:val="21"/>
                <w:szCs w:val="21"/>
              </w:rPr>
              <w:t>大</w:t>
            </w:r>
            <w:r>
              <w:rPr>
                <w:rFonts w:cs="Times New Roman"/>
                <w:sz w:val="21"/>
                <w:szCs w:val="21"/>
              </w:rPr>
              <w:t>型水库水库管理范围为“库区为校核洪水位以外50m，大坝坝肩以外200~300m，坝脚以下700m，附属建筑物外边缘以外100~200m”。</w:t>
            </w:r>
          </w:p>
        </w:tc>
        <w:tc>
          <w:tcPr>
            <w:tcW w:w="529" w:type="pct"/>
            <w:vMerge w:val="restart"/>
            <w:shd w:val="clear" w:color="auto" w:fill="auto"/>
            <w:noWrap/>
            <w:vAlign w:val="center"/>
          </w:tcPr>
          <w:p>
            <w:pPr>
              <w:pStyle w:val="64"/>
              <w:rPr>
                <w:rFonts w:eastAsia="宋体" w:cs="Times New Roman"/>
                <w:szCs w:val="21"/>
              </w:rPr>
            </w:pPr>
            <w:r>
              <w:rPr>
                <w:rFonts w:hint="eastAsia" w:eastAsia="宋体" w:cs="Times New Roman"/>
                <w:szCs w:val="21"/>
              </w:rPr>
              <w:t>山区中</w:t>
            </w:r>
            <w:r>
              <w:rPr>
                <w:rFonts w:eastAsia="宋体" w:cs="Times New Roman"/>
                <w:szCs w:val="21"/>
              </w:rPr>
              <w:t>型水库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1" w:hRule="atLeast"/>
        </w:trPr>
        <w:tc>
          <w:tcPr>
            <w:tcW w:w="233" w:type="pct"/>
            <w:vMerge w:val="continue"/>
            <w:vAlign w:val="center"/>
          </w:tcPr>
          <w:p>
            <w:pPr>
              <w:spacing w:line="240" w:lineRule="auto"/>
              <w:ind w:firstLine="0" w:firstLineChars="0"/>
              <w:jc w:val="center"/>
              <w:rPr>
                <w:rFonts w:cs="Times New Roman"/>
                <w:b/>
                <w:bCs/>
                <w:color w:val="000000"/>
                <w:sz w:val="21"/>
                <w:szCs w:val="21"/>
              </w:rPr>
            </w:pP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4546040.69</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559550.72</w:t>
            </w:r>
          </w:p>
        </w:tc>
        <w:tc>
          <w:tcPr>
            <w:tcW w:w="472"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4540629.28</w:t>
            </w:r>
          </w:p>
        </w:tc>
        <w:tc>
          <w:tcPr>
            <w:tcW w:w="435" w:type="pct"/>
            <w:shd w:val="clear" w:color="auto" w:fill="auto"/>
            <w:noWrap/>
            <w:vAlign w:val="center"/>
          </w:tcPr>
          <w:p>
            <w:pPr>
              <w:pStyle w:val="64"/>
              <w:rPr>
                <w:rFonts w:eastAsia="宋体" w:cs="Times New Roman"/>
                <w:szCs w:val="21"/>
              </w:rPr>
            </w:pPr>
            <w:r>
              <w:rPr>
                <w:rFonts w:hint="eastAsia" w:ascii="等线" w:hAnsi="等线" w:eastAsia="等线"/>
                <w:color w:val="000000"/>
                <w:sz w:val="22"/>
              </w:rPr>
              <w:t>558040.39</w:t>
            </w:r>
          </w:p>
        </w:tc>
        <w:tc>
          <w:tcPr>
            <w:tcW w:w="267" w:type="pct"/>
            <w:shd w:val="clear" w:color="auto" w:fill="auto"/>
            <w:vAlign w:val="center"/>
          </w:tcPr>
          <w:p>
            <w:pPr>
              <w:pStyle w:val="64"/>
              <w:rPr>
                <w:rFonts w:eastAsia="宋体" w:cs="Times New Roman"/>
                <w:szCs w:val="21"/>
              </w:rPr>
            </w:pPr>
            <w:r>
              <w:rPr>
                <w:rFonts w:eastAsia="宋体" w:cs="Times New Roman"/>
                <w:szCs w:val="21"/>
              </w:rPr>
              <w:t>左岸</w:t>
            </w:r>
          </w:p>
        </w:tc>
        <w:tc>
          <w:tcPr>
            <w:tcW w:w="337" w:type="pct"/>
            <w:vMerge w:val="continue"/>
            <w:vAlign w:val="center"/>
          </w:tcPr>
          <w:p>
            <w:pPr>
              <w:spacing w:line="240" w:lineRule="auto"/>
              <w:ind w:firstLine="0" w:firstLineChars="0"/>
              <w:jc w:val="center"/>
              <w:rPr>
                <w:rFonts w:cs="Times New Roman"/>
                <w:color w:val="000000"/>
                <w:sz w:val="21"/>
                <w:szCs w:val="21"/>
              </w:rPr>
            </w:pPr>
          </w:p>
        </w:tc>
        <w:tc>
          <w:tcPr>
            <w:tcW w:w="438" w:type="pct"/>
            <w:shd w:val="clear" w:color="auto" w:fill="auto"/>
            <w:noWrap/>
            <w:vAlign w:val="center"/>
          </w:tcPr>
          <w:p>
            <w:pPr>
              <w:pStyle w:val="64"/>
              <w:rPr>
                <w:rFonts w:eastAsia="宋体" w:cs="Times New Roman"/>
                <w:szCs w:val="21"/>
              </w:rPr>
            </w:pPr>
            <w:r>
              <w:rPr>
                <w:rFonts w:hint="eastAsia" w:eastAsia="宋体" w:cs="Times New Roman"/>
                <w:szCs w:val="21"/>
              </w:rPr>
              <w:t>8</w:t>
            </w:r>
            <w:r>
              <w:rPr>
                <w:rFonts w:eastAsia="宋体" w:cs="Times New Roman"/>
                <w:szCs w:val="21"/>
              </w:rPr>
              <w:t>053</w:t>
            </w:r>
          </w:p>
        </w:tc>
        <w:tc>
          <w:tcPr>
            <w:tcW w:w="764" w:type="pct"/>
            <w:vMerge w:val="continue"/>
            <w:vAlign w:val="center"/>
          </w:tcPr>
          <w:p>
            <w:pPr>
              <w:spacing w:line="240" w:lineRule="auto"/>
              <w:ind w:firstLine="0" w:firstLineChars="0"/>
              <w:jc w:val="center"/>
              <w:rPr>
                <w:rFonts w:cs="Times New Roman"/>
                <w:color w:val="000000"/>
                <w:sz w:val="21"/>
                <w:szCs w:val="21"/>
              </w:rPr>
            </w:pPr>
          </w:p>
        </w:tc>
        <w:tc>
          <w:tcPr>
            <w:tcW w:w="618" w:type="pct"/>
            <w:vMerge w:val="continue"/>
            <w:vAlign w:val="center"/>
          </w:tcPr>
          <w:p>
            <w:pPr>
              <w:spacing w:line="240" w:lineRule="auto"/>
              <w:ind w:firstLine="0" w:firstLineChars="0"/>
              <w:jc w:val="center"/>
              <w:rPr>
                <w:rFonts w:cs="Times New Roman"/>
                <w:color w:val="000000"/>
                <w:sz w:val="21"/>
                <w:szCs w:val="21"/>
              </w:rPr>
            </w:pPr>
          </w:p>
        </w:tc>
        <w:tc>
          <w:tcPr>
            <w:tcW w:w="529" w:type="pct"/>
            <w:vMerge w:val="continue"/>
            <w:vAlign w:val="center"/>
          </w:tcPr>
          <w:p>
            <w:pPr>
              <w:spacing w:line="240" w:lineRule="auto"/>
              <w:ind w:firstLine="0" w:firstLineChars="0"/>
              <w:jc w:val="center"/>
              <w:rPr>
                <w:rFonts w:cs="Times New Roman"/>
                <w:color w:val="000000"/>
                <w:sz w:val="21"/>
                <w:szCs w:val="21"/>
              </w:rPr>
            </w:pPr>
          </w:p>
        </w:tc>
      </w:tr>
    </w:tbl>
    <w:p>
      <w:pPr>
        <w:pStyle w:val="61"/>
        <w:spacing w:before="190" w:after="190"/>
        <w:ind w:firstLine="0"/>
        <w:rPr>
          <w:rFonts w:cs="Times New Roman"/>
          <w:sz w:val="28"/>
          <w:szCs w:val="28"/>
        </w:rPr>
      </w:pPr>
    </w:p>
    <w:p>
      <w:pPr>
        <w:pStyle w:val="61"/>
        <w:spacing w:before="190" w:after="190"/>
        <w:ind w:firstLine="0"/>
        <w:rPr>
          <w:rFonts w:cs="Times New Roman"/>
          <w:sz w:val="28"/>
          <w:szCs w:val="28"/>
        </w:rPr>
      </w:pPr>
    </w:p>
    <w:p>
      <w:pPr>
        <w:pStyle w:val="61"/>
        <w:spacing w:before="190" w:after="190"/>
        <w:ind w:firstLine="0"/>
        <w:rPr>
          <w:rFonts w:cs="Times New Roman"/>
          <w:sz w:val="28"/>
          <w:szCs w:val="28"/>
        </w:rPr>
      </w:pPr>
      <w:r>
        <w:rPr>
          <w:rFonts w:cs="Times New Roman"/>
          <w:sz w:val="28"/>
          <w:szCs w:val="28"/>
        </w:rPr>
        <w:t>表</w:t>
      </w:r>
      <w:r>
        <w:rPr>
          <w:rFonts w:hint="eastAsia" w:cs="Times New Roman"/>
          <w:sz w:val="28"/>
          <w:szCs w:val="28"/>
        </w:rPr>
        <w:t>4-2</w:t>
      </w:r>
      <w:r>
        <w:rPr>
          <w:rFonts w:cs="Times New Roman"/>
          <w:sz w:val="28"/>
          <w:szCs w:val="28"/>
        </w:rPr>
        <w:t xml:space="preserve">  </w:t>
      </w:r>
      <w:r>
        <w:rPr>
          <w:rFonts w:hint="eastAsia" w:cs="Times New Roman"/>
          <w:sz w:val="28"/>
          <w:szCs w:val="28"/>
        </w:rPr>
        <w:t>哈拉沁</w:t>
      </w:r>
      <w:r>
        <w:rPr>
          <w:rFonts w:cs="Times New Roman"/>
          <w:sz w:val="28"/>
          <w:szCs w:val="28"/>
        </w:rPr>
        <w:t>水库</w:t>
      </w:r>
      <w:r>
        <w:rPr>
          <w:rFonts w:hint="eastAsia" w:cs="Times New Roman"/>
          <w:sz w:val="28"/>
          <w:szCs w:val="28"/>
        </w:rPr>
        <w:t>保护</w:t>
      </w:r>
      <w:r>
        <w:rPr>
          <w:rFonts w:cs="Times New Roman"/>
          <w:sz w:val="28"/>
          <w:szCs w:val="28"/>
        </w:rPr>
        <w:t>范围线划定成果表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340"/>
        <w:gridCol w:w="1234"/>
        <w:gridCol w:w="1340"/>
        <w:gridCol w:w="1234"/>
        <w:gridCol w:w="857"/>
        <w:gridCol w:w="1008"/>
        <w:gridCol w:w="1297"/>
        <w:gridCol w:w="2311"/>
        <w:gridCol w:w="1636"/>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trPr>
        <w:tc>
          <w:tcPr>
            <w:tcW w:w="736" w:type="dxa"/>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名称</w:t>
            </w:r>
          </w:p>
        </w:tc>
        <w:tc>
          <w:tcPr>
            <w:tcW w:w="2533" w:type="dxa"/>
            <w:gridSpan w:val="2"/>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起始坐标</w:t>
            </w:r>
          </w:p>
        </w:tc>
        <w:tc>
          <w:tcPr>
            <w:tcW w:w="2533" w:type="dxa"/>
            <w:gridSpan w:val="2"/>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终点坐标</w:t>
            </w:r>
          </w:p>
        </w:tc>
        <w:tc>
          <w:tcPr>
            <w:tcW w:w="843" w:type="dxa"/>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岸别</w:t>
            </w:r>
          </w:p>
        </w:tc>
        <w:tc>
          <w:tcPr>
            <w:tcW w:w="992" w:type="dxa"/>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河道长度（m)</w:t>
            </w:r>
          </w:p>
        </w:tc>
        <w:tc>
          <w:tcPr>
            <w:tcW w:w="1276" w:type="dxa"/>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保护</w:t>
            </w:r>
            <w:r>
              <w:rPr>
                <w:rFonts w:cs="Times New Roman"/>
                <w:b/>
                <w:bCs/>
                <w:color w:val="000000"/>
                <w:sz w:val="21"/>
                <w:szCs w:val="21"/>
              </w:rPr>
              <w:t>边界线长度（m）</w:t>
            </w:r>
          </w:p>
        </w:tc>
        <w:tc>
          <w:tcPr>
            <w:tcW w:w="2274" w:type="dxa"/>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划分方法</w:t>
            </w:r>
          </w:p>
        </w:tc>
        <w:tc>
          <w:tcPr>
            <w:tcW w:w="1610" w:type="dxa"/>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划分依据</w:t>
            </w:r>
          </w:p>
        </w:tc>
        <w:tc>
          <w:tcPr>
            <w:tcW w:w="1151" w:type="dxa"/>
            <w:vMerge w:val="restart"/>
            <w:shd w:val="clear" w:color="auto" w:fill="auto"/>
            <w:noWrap/>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trPr>
        <w:tc>
          <w:tcPr>
            <w:tcW w:w="736" w:type="dxa"/>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1319" w:type="dxa"/>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X</w:t>
            </w:r>
          </w:p>
        </w:tc>
        <w:tc>
          <w:tcPr>
            <w:tcW w:w="1214" w:type="dxa"/>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Y</w:t>
            </w:r>
          </w:p>
        </w:tc>
        <w:tc>
          <w:tcPr>
            <w:tcW w:w="1319" w:type="dxa"/>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X</w:t>
            </w:r>
          </w:p>
        </w:tc>
        <w:tc>
          <w:tcPr>
            <w:tcW w:w="1214" w:type="dxa"/>
            <w:shd w:val="clear" w:color="auto" w:fill="auto"/>
            <w:vAlign w:val="center"/>
          </w:tcPr>
          <w:p>
            <w:pPr>
              <w:spacing w:line="240" w:lineRule="auto"/>
              <w:ind w:firstLine="0" w:firstLineChars="0"/>
              <w:jc w:val="center"/>
              <w:rPr>
                <w:rFonts w:cs="Times New Roman"/>
                <w:b/>
                <w:bCs/>
                <w:color w:val="000000"/>
                <w:sz w:val="21"/>
                <w:szCs w:val="21"/>
              </w:rPr>
            </w:pPr>
            <w:r>
              <w:rPr>
                <w:rFonts w:hint="eastAsia" w:cs="Times New Roman"/>
                <w:b/>
                <w:bCs/>
                <w:color w:val="000000"/>
                <w:sz w:val="21"/>
                <w:szCs w:val="21"/>
              </w:rPr>
              <w:t>Y</w:t>
            </w:r>
          </w:p>
        </w:tc>
        <w:tc>
          <w:tcPr>
            <w:tcW w:w="843" w:type="dxa"/>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992" w:type="dxa"/>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1276" w:type="dxa"/>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2274" w:type="dxa"/>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1610" w:type="dxa"/>
            <w:vMerge w:val="continue"/>
            <w:shd w:val="clear" w:color="auto" w:fill="auto"/>
            <w:vAlign w:val="center"/>
          </w:tcPr>
          <w:p>
            <w:pPr>
              <w:spacing w:line="240" w:lineRule="auto"/>
              <w:ind w:firstLine="0" w:firstLineChars="0"/>
              <w:jc w:val="center"/>
              <w:rPr>
                <w:rFonts w:cs="Times New Roman"/>
                <w:b/>
                <w:bCs/>
                <w:color w:val="000000"/>
                <w:sz w:val="21"/>
                <w:szCs w:val="21"/>
              </w:rPr>
            </w:pPr>
          </w:p>
        </w:tc>
        <w:tc>
          <w:tcPr>
            <w:tcW w:w="1151" w:type="dxa"/>
            <w:vMerge w:val="continue"/>
            <w:shd w:val="clear" w:color="auto" w:fill="auto"/>
            <w:noWrap/>
            <w:vAlign w:val="center"/>
          </w:tcPr>
          <w:p>
            <w:pPr>
              <w:spacing w:line="240" w:lineRule="auto"/>
              <w:ind w:firstLine="0" w:firstLineChars="0"/>
              <w:jc w:val="center"/>
              <w:rPr>
                <w:rFonts w:cs="Times New Roman"/>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736" w:type="dxa"/>
            <w:vMerge w:val="restart"/>
            <w:shd w:val="clear" w:color="auto" w:fill="auto"/>
            <w:vAlign w:val="center"/>
          </w:tcPr>
          <w:p>
            <w:pPr>
              <w:spacing w:line="240" w:lineRule="auto"/>
              <w:ind w:firstLine="0" w:firstLineChars="0"/>
              <w:jc w:val="center"/>
              <w:rPr>
                <w:rFonts w:cs="Times New Roman"/>
                <w:b/>
                <w:bCs/>
                <w:color w:val="000000"/>
                <w:sz w:val="21"/>
                <w:szCs w:val="21"/>
              </w:rPr>
            </w:pPr>
            <w:r>
              <w:rPr>
                <w:rFonts w:cs="Times New Roman"/>
                <w:b/>
                <w:bCs/>
                <w:color w:val="000000"/>
                <w:sz w:val="21"/>
                <w:szCs w:val="21"/>
              </w:rPr>
              <w:t>哈拉沁水库库区段</w:t>
            </w:r>
          </w:p>
        </w:tc>
        <w:tc>
          <w:tcPr>
            <w:tcW w:w="1319"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4546178.25</w:t>
            </w:r>
          </w:p>
        </w:tc>
        <w:tc>
          <w:tcPr>
            <w:tcW w:w="1214"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559864.45</w:t>
            </w:r>
          </w:p>
        </w:tc>
        <w:tc>
          <w:tcPr>
            <w:tcW w:w="1319"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4546178.25</w:t>
            </w:r>
          </w:p>
        </w:tc>
        <w:tc>
          <w:tcPr>
            <w:tcW w:w="1214"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559864.45</w:t>
            </w:r>
          </w:p>
        </w:tc>
        <w:tc>
          <w:tcPr>
            <w:tcW w:w="843" w:type="dxa"/>
            <w:shd w:val="clear" w:color="auto" w:fill="auto"/>
            <w:vAlign w:val="center"/>
          </w:tcPr>
          <w:p>
            <w:pPr>
              <w:pStyle w:val="64"/>
              <w:rPr>
                <w:rFonts w:eastAsia="宋体" w:cs="Times New Roman"/>
                <w:szCs w:val="21"/>
              </w:rPr>
            </w:pPr>
            <w:r>
              <w:rPr>
                <w:rFonts w:eastAsia="宋体" w:cs="Times New Roman"/>
                <w:szCs w:val="21"/>
              </w:rPr>
              <w:t>右岸</w:t>
            </w:r>
          </w:p>
        </w:tc>
        <w:tc>
          <w:tcPr>
            <w:tcW w:w="992" w:type="dxa"/>
            <w:vMerge w:val="restart"/>
            <w:shd w:val="clear" w:color="auto" w:fill="auto"/>
            <w:noWrap/>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6832</w:t>
            </w:r>
          </w:p>
        </w:tc>
        <w:tc>
          <w:tcPr>
            <w:tcW w:w="1276" w:type="dxa"/>
            <w:shd w:val="clear" w:color="auto" w:fill="auto"/>
            <w:noWrap/>
            <w:vAlign w:val="center"/>
          </w:tcPr>
          <w:p>
            <w:pPr>
              <w:pStyle w:val="64"/>
              <w:rPr>
                <w:rFonts w:eastAsia="宋体" w:cs="Times New Roman"/>
                <w:szCs w:val="21"/>
              </w:rPr>
            </w:pPr>
            <w:r>
              <w:rPr>
                <w:rFonts w:hint="eastAsia" w:eastAsia="宋体" w:cs="Times New Roman"/>
                <w:szCs w:val="21"/>
              </w:rPr>
              <w:t>7</w:t>
            </w:r>
            <w:r>
              <w:rPr>
                <w:rFonts w:eastAsia="宋体" w:cs="Times New Roman"/>
                <w:szCs w:val="21"/>
              </w:rPr>
              <w:t>159</w:t>
            </w:r>
          </w:p>
        </w:tc>
        <w:tc>
          <w:tcPr>
            <w:tcW w:w="2274" w:type="dxa"/>
            <w:vMerge w:val="restart"/>
            <w:shd w:val="clear" w:color="auto" w:fill="auto"/>
            <w:vAlign w:val="center"/>
          </w:tcPr>
          <w:p>
            <w:pPr>
              <w:pStyle w:val="64"/>
              <w:rPr>
                <w:rFonts w:eastAsia="宋体" w:cs="Times New Roman"/>
                <w:szCs w:val="21"/>
              </w:rPr>
            </w:pPr>
            <w:r>
              <w:rPr>
                <w:rFonts w:hint="eastAsia" w:eastAsia="宋体" w:cs="Times New Roman"/>
                <w:szCs w:val="21"/>
              </w:rPr>
              <w:t>库区保护范围为管理范围以外</w:t>
            </w:r>
            <w:r>
              <w:rPr>
                <w:rFonts w:eastAsia="宋体" w:cs="Times New Roman"/>
                <w:szCs w:val="21"/>
              </w:rPr>
              <w:t>5</w:t>
            </w:r>
            <w:r>
              <w:rPr>
                <w:rFonts w:hint="eastAsia" w:eastAsia="宋体" w:cs="Times New Roman"/>
                <w:szCs w:val="21"/>
              </w:rPr>
              <w:t>0m，大坝保护范围为管理范围以外</w:t>
            </w:r>
            <w:r>
              <w:rPr>
                <w:rFonts w:eastAsia="宋体" w:cs="Times New Roman"/>
                <w:szCs w:val="21"/>
              </w:rPr>
              <w:t>2</w:t>
            </w:r>
            <w:r>
              <w:rPr>
                <w:rFonts w:hint="eastAsia" w:eastAsia="宋体" w:cs="Times New Roman"/>
                <w:szCs w:val="21"/>
              </w:rPr>
              <w:t>00m，下游保护范围为管理范围以外</w:t>
            </w:r>
            <w:r>
              <w:rPr>
                <w:rFonts w:eastAsia="宋体" w:cs="Times New Roman"/>
                <w:szCs w:val="21"/>
              </w:rPr>
              <w:t>3</w:t>
            </w:r>
            <w:r>
              <w:rPr>
                <w:rFonts w:hint="eastAsia" w:eastAsia="宋体" w:cs="Times New Roman"/>
                <w:szCs w:val="21"/>
              </w:rPr>
              <w:t>00m，附属建筑物保护范围为管理范围以外</w:t>
            </w:r>
            <w:r>
              <w:rPr>
                <w:rFonts w:eastAsia="宋体" w:cs="Times New Roman"/>
                <w:szCs w:val="21"/>
              </w:rPr>
              <w:t>2</w:t>
            </w:r>
            <w:r>
              <w:rPr>
                <w:rFonts w:hint="eastAsia" w:eastAsia="宋体" w:cs="Times New Roman"/>
                <w:szCs w:val="21"/>
              </w:rPr>
              <w:t>00m</w:t>
            </w:r>
          </w:p>
        </w:tc>
        <w:tc>
          <w:tcPr>
            <w:tcW w:w="1610" w:type="dxa"/>
            <w:vMerge w:val="restart"/>
            <w:shd w:val="clear" w:color="auto" w:fill="auto"/>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《内蒙古自治区水工程管理和保护范围划定标准》</w:t>
            </w:r>
          </w:p>
        </w:tc>
        <w:tc>
          <w:tcPr>
            <w:tcW w:w="1151" w:type="dxa"/>
            <w:vMerge w:val="restart"/>
            <w:shd w:val="clear" w:color="auto" w:fill="auto"/>
            <w:noWrap/>
            <w:vAlign w:val="center"/>
          </w:tcPr>
          <w:p>
            <w:pPr>
              <w:pStyle w:val="64"/>
              <w:rPr>
                <w:rFonts w:eastAsia="宋体" w:cs="Times New Roman"/>
                <w:szCs w:val="21"/>
              </w:rPr>
            </w:pPr>
            <w:r>
              <w:rPr>
                <w:rFonts w:hint="eastAsia" w:eastAsia="宋体" w:cs="Times New Roman"/>
                <w:szCs w:val="21"/>
              </w:rPr>
              <w:t>山区中</w:t>
            </w:r>
            <w:r>
              <w:rPr>
                <w:rFonts w:eastAsia="宋体" w:cs="Times New Roman"/>
                <w:szCs w:val="21"/>
              </w:rPr>
              <w:t>型水库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736" w:type="dxa"/>
            <w:vMerge w:val="continue"/>
            <w:vAlign w:val="center"/>
          </w:tcPr>
          <w:p>
            <w:pPr>
              <w:spacing w:line="240" w:lineRule="auto"/>
              <w:ind w:firstLine="0" w:firstLineChars="0"/>
              <w:jc w:val="center"/>
              <w:rPr>
                <w:rFonts w:cs="Times New Roman"/>
                <w:b/>
                <w:bCs/>
                <w:color w:val="000000"/>
                <w:sz w:val="21"/>
                <w:szCs w:val="21"/>
              </w:rPr>
            </w:pPr>
          </w:p>
        </w:tc>
        <w:tc>
          <w:tcPr>
            <w:tcW w:w="1319"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4546178.25</w:t>
            </w:r>
          </w:p>
        </w:tc>
        <w:tc>
          <w:tcPr>
            <w:tcW w:w="1214"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559864.45</w:t>
            </w:r>
          </w:p>
        </w:tc>
        <w:tc>
          <w:tcPr>
            <w:tcW w:w="1319"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4546178.25</w:t>
            </w:r>
          </w:p>
        </w:tc>
        <w:tc>
          <w:tcPr>
            <w:tcW w:w="1214" w:type="dxa"/>
            <w:shd w:val="clear" w:color="auto" w:fill="auto"/>
            <w:noWrap/>
            <w:vAlign w:val="center"/>
          </w:tcPr>
          <w:p>
            <w:pPr>
              <w:pStyle w:val="64"/>
              <w:rPr>
                <w:rFonts w:eastAsia="宋体" w:cs="Times New Roman"/>
                <w:szCs w:val="21"/>
              </w:rPr>
            </w:pPr>
            <w:r>
              <w:rPr>
                <w:rFonts w:hint="eastAsia" w:ascii="等线" w:hAnsi="等线" w:eastAsia="等线"/>
                <w:color w:val="000000"/>
                <w:sz w:val="22"/>
              </w:rPr>
              <w:t>559864.45</w:t>
            </w:r>
          </w:p>
        </w:tc>
        <w:tc>
          <w:tcPr>
            <w:tcW w:w="843" w:type="dxa"/>
            <w:shd w:val="clear" w:color="auto" w:fill="auto"/>
            <w:vAlign w:val="center"/>
          </w:tcPr>
          <w:p>
            <w:pPr>
              <w:pStyle w:val="64"/>
              <w:rPr>
                <w:rFonts w:eastAsia="宋体" w:cs="Times New Roman"/>
                <w:szCs w:val="21"/>
              </w:rPr>
            </w:pPr>
            <w:r>
              <w:rPr>
                <w:rFonts w:eastAsia="宋体" w:cs="Times New Roman"/>
                <w:szCs w:val="21"/>
              </w:rPr>
              <w:t>左岸</w:t>
            </w:r>
          </w:p>
        </w:tc>
        <w:tc>
          <w:tcPr>
            <w:tcW w:w="992" w:type="dxa"/>
            <w:vMerge w:val="continue"/>
            <w:vAlign w:val="center"/>
          </w:tcPr>
          <w:p>
            <w:pPr>
              <w:spacing w:line="240" w:lineRule="auto"/>
              <w:ind w:firstLine="0" w:firstLineChars="0"/>
              <w:jc w:val="center"/>
              <w:rPr>
                <w:rFonts w:cs="Times New Roman"/>
                <w:color w:val="000000"/>
                <w:sz w:val="21"/>
                <w:szCs w:val="21"/>
              </w:rPr>
            </w:pPr>
          </w:p>
        </w:tc>
        <w:tc>
          <w:tcPr>
            <w:tcW w:w="1276" w:type="dxa"/>
            <w:shd w:val="clear" w:color="auto" w:fill="auto"/>
            <w:noWrap/>
            <w:vAlign w:val="center"/>
          </w:tcPr>
          <w:p>
            <w:pPr>
              <w:pStyle w:val="64"/>
              <w:rPr>
                <w:rFonts w:eastAsia="宋体" w:cs="Times New Roman"/>
                <w:szCs w:val="21"/>
              </w:rPr>
            </w:pPr>
            <w:r>
              <w:rPr>
                <w:rFonts w:eastAsia="宋体" w:cs="Times New Roman"/>
                <w:szCs w:val="21"/>
              </w:rPr>
              <w:t>8606</w:t>
            </w:r>
          </w:p>
        </w:tc>
        <w:tc>
          <w:tcPr>
            <w:tcW w:w="2274" w:type="dxa"/>
            <w:vMerge w:val="continue"/>
            <w:vAlign w:val="center"/>
          </w:tcPr>
          <w:p>
            <w:pPr>
              <w:spacing w:line="240" w:lineRule="auto"/>
              <w:ind w:firstLine="0" w:firstLineChars="0"/>
              <w:jc w:val="center"/>
              <w:rPr>
                <w:rFonts w:cs="Times New Roman"/>
                <w:color w:val="000000"/>
                <w:sz w:val="21"/>
                <w:szCs w:val="21"/>
              </w:rPr>
            </w:pPr>
          </w:p>
        </w:tc>
        <w:tc>
          <w:tcPr>
            <w:tcW w:w="1610" w:type="dxa"/>
            <w:vMerge w:val="continue"/>
            <w:vAlign w:val="center"/>
          </w:tcPr>
          <w:p>
            <w:pPr>
              <w:spacing w:line="240" w:lineRule="auto"/>
              <w:ind w:firstLine="0" w:firstLineChars="0"/>
              <w:jc w:val="center"/>
              <w:rPr>
                <w:rFonts w:cs="Times New Roman"/>
                <w:color w:val="000000"/>
                <w:sz w:val="21"/>
                <w:szCs w:val="21"/>
              </w:rPr>
            </w:pPr>
          </w:p>
        </w:tc>
        <w:tc>
          <w:tcPr>
            <w:tcW w:w="1151" w:type="dxa"/>
            <w:vMerge w:val="continue"/>
            <w:vAlign w:val="center"/>
          </w:tcPr>
          <w:p>
            <w:pPr>
              <w:spacing w:line="240" w:lineRule="auto"/>
              <w:ind w:firstLine="0" w:firstLineChars="0"/>
              <w:jc w:val="center"/>
              <w:rPr>
                <w:rFonts w:cs="Times New Roman"/>
                <w:color w:val="000000"/>
                <w:sz w:val="21"/>
                <w:szCs w:val="21"/>
              </w:rPr>
            </w:pPr>
          </w:p>
        </w:tc>
      </w:tr>
    </w:tbl>
    <w:p>
      <w:pPr>
        <w:pStyle w:val="61"/>
        <w:spacing w:before="190" w:after="190"/>
        <w:ind w:firstLine="0"/>
        <w:rPr>
          <w:rFonts w:cs="Times New Roman"/>
          <w:sz w:val="28"/>
          <w:szCs w:val="28"/>
        </w:rPr>
      </w:pPr>
    </w:p>
    <w:p>
      <w:pPr>
        <w:pStyle w:val="61"/>
        <w:spacing w:before="190" w:after="190"/>
        <w:ind w:firstLine="560"/>
        <w:rPr>
          <w:rFonts w:cs="Times New Roman"/>
          <w:sz w:val="28"/>
          <w:szCs w:val="28"/>
        </w:rPr>
      </w:pPr>
    </w:p>
    <w:p>
      <w:pPr>
        <w:pStyle w:val="61"/>
        <w:spacing w:before="190" w:after="190"/>
        <w:ind w:firstLine="560"/>
        <w:rPr>
          <w:rFonts w:cs="Times New Roman"/>
          <w:sz w:val="28"/>
          <w:szCs w:val="28"/>
        </w:rPr>
      </w:pPr>
    </w:p>
    <w:p>
      <w:pPr>
        <w:pStyle w:val="61"/>
        <w:spacing w:before="190" w:after="190"/>
        <w:ind w:firstLine="560"/>
        <w:rPr>
          <w:rFonts w:cs="Times New Roman"/>
          <w:sz w:val="28"/>
          <w:szCs w:val="28"/>
        </w:rPr>
      </w:pPr>
      <w:r>
        <w:rPr>
          <w:rFonts w:cs="Times New Roman"/>
          <w:sz w:val="28"/>
          <w:szCs w:val="28"/>
        </w:rPr>
        <w:t>表</w:t>
      </w:r>
      <w:r>
        <w:rPr>
          <w:rFonts w:hint="eastAsia" w:cs="Times New Roman"/>
          <w:sz w:val="28"/>
          <w:szCs w:val="28"/>
        </w:rPr>
        <w:t>4-3</w:t>
      </w:r>
      <w:r>
        <w:rPr>
          <w:rFonts w:cs="Times New Roman"/>
          <w:sz w:val="28"/>
          <w:szCs w:val="28"/>
        </w:rPr>
        <w:t xml:space="preserve">  </w:t>
      </w:r>
      <w:r>
        <w:rPr>
          <w:rFonts w:hint="eastAsia" w:cs="Times New Roman"/>
          <w:sz w:val="28"/>
          <w:szCs w:val="28"/>
        </w:rPr>
        <w:t>哈拉沁水库管理与保护范围划定情况统计表</w:t>
      </w:r>
    </w:p>
    <w:tbl>
      <w:tblPr>
        <w:tblStyle w:val="36"/>
        <w:tblW w:w="5000" w:type="pct"/>
        <w:tblInd w:w="0" w:type="dxa"/>
        <w:tblLayout w:type="autofit"/>
        <w:tblCellMar>
          <w:top w:w="0" w:type="dxa"/>
          <w:left w:w="108" w:type="dxa"/>
          <w:bottom w:w="0" w:type="dxa"/>
          <w:right w:w="108" w:type="dxa"/>
        </w:tblCellMar>
      </w:tblPr>
      <w:tblGrid>
        <w:gridCol w:w="1292"/>
        <w:gridCol w:w="1153"/>
        <w:gridCol w:w="1296"/>
        <w:gridCol w:w="1871"/>
        <w:gridCol w:w="1585"/>
        <w:gridCol w:w="1585"/>
        <w:gridCol w:w="1585"/>
        <w:gridCol w:w="1874"/>
        <w:gridCol w:w="1933"/>
      </w:tblGrid>
      <w:tr>
        <w:tblPrEx>
          <w:tblCellMar>
            <w:top w:w="0" w:type="dxa"/>
            <w:left w:w="108" w:type="dxa"/>
            <w:bottom w:w="0" w:type="dxa"/>
            <w:right w:w="108" w:type="dxa"/>
          </w:tblCellMar>
        </w:tblPrEx>
        <w:trPr>
          <w:trHeight w:val="300" w:hRule="atLeast"/>
        </w:trPr>
        <w:tc>
          <w:tcPr>
            <w:tcW w:w="4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水库名称</w:t>
            </w:r>
          </w:p>
        </w:tc>
        <w:tc>
          <w:tcPr>
            <w:tcW w:w="407"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所在河流</w:t>
            </w:r>
          </w:p>
        </w:tc>
        <w:tc>
          <w:tcPr>
            <w:tcW w:w="4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所在旗县</w:t>
            </w:r>
          </w:p>
        </w:tc>
        <w:tc>
          <w:tcPr>
            <w:tcW w:w="660" w:type="pct"/>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坝址</w:t>
            </w:r>
            <w:r>
              <w:rPr>
                <w:rFonts w:cs="Times New Roman"/>
                <w:color w:val="000000"/>
                <w:kern w:val="0"/>
                <w:sz w:val="21"/>
                <w:szCs w:val="21"/>
              </w:rPr>
              <w:t>坐标</w:t>
            </w:r>
          </w:p>
        </w:tc>
        <w:tc>
          <w:tcPr>
            <w:tcW w:w="5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管理单位</w:t>
            </w:r>
          </w:p>
        </w:tc>
        <w:tc>
          <w:tcPr>
            <w:tcW w:w="5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划界类型</w:t>
            </w:r>
          </w:p>
        </w:tc>
        <w:tc>
          <w:tcPr>
            <w:tcW w:w="1902"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划界</w:t>
            </w:r>
          </w:p>
        </w:tc>
      </w:tr>
      <w:tr>
        <w:tblPrEx>
          <w:tblCellMar>
            <w:top w:w="0" w:type="dxa"/>
            <w:left w:w="108" w:type="dxa"/>
            <w:bottom w:w="0" w:type="dxa"/>
            <w:right w:w="108" w:type="dxa"/>
          </w:tblCellMar>
        </w:tblPrEx>
        <w:trPr>
          <w:trHeight w:val="270" w:hRule="atLeast"/>
        </w:trPr>
        <w:tc>
          <w:tcPr>
            <w:tcW w:w="45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407"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45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660" w:type="pct"/>
            <w:vMerge w:val="continue"/>
            <w:tcBorders>
              <w:left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是否完成划界</w:t>
            </w:r>
          </w:p>
        </w:tc>
        <w:tc>
          <w:tcPr>
            <w:tcW w:w="1343"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已划界面积（亩）</w:t>
            </w:r>
          </w:p>
        </w:tc>
      </w:tr>
      <w:tr>
        <w:tblPrEx>
          <w:tblCellMar>
            <w:top w:w="0" w:type="dxa"/>
            <w:left w:w="108" w:type="dxa"/>
            <w:bottom w:w="0" w:type="dxa"/>
            <w:right w:w="108" w:type="dxa"/>
          </w:tblCellMar>
        </w:tblPrEx>
        <w:trPr>
          <w:trHeight w:val="270" w:hRule="atLeast"/>
        </w:trPr>
        <w:tc>
          <w:tcPr>
            <w:tcW w:w="45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407"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45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660"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66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坝区</w:t>
            </w:r>
          </w:p>
        </w:tc>
        <w:tc>
          <w:tcPr>
            <w:tcW w:w="68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库区</w:t>
            </w:r>
          </w:p>
        </w:tc>
      </w:tr>
      <w:tr>
        <w:tblPrEx>
          <w:tblCellMar>
            <w:top w:w="0" w:type="dxa"/>
            <w:left w:w="108" w:type="dxa"/>
            <w:bottom w:w="0" w:type="dxa"/>
            <w:right w:w="108" w:type="dxa"/>
          </w:tblCellMar>
        </w:tblPrEx>
        <w:trPr>
          <w:trHeight w:val="280" w:hRule="atLeast"/>
        </w:trPr>
        <w:tc>
          <w:tcPr>
            <w:tcW w:w="4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sz w:val="21"/>
                <w:szCs w:val="21"/>
              </w:rPr>
              <w:t>哈拉沁</w:t>
            </w:r>
            <w:r>
              <w:rPr>
                <w:rFonts w:cs="Times New Roman"/>
                <w:color w:val="000000"/>
                <w:sz w:val="21"/>
                <w:szCs w:val="21"/>
              </w:rPr>
              <w:t>水库</w:t>
            </w:r>
          </w:p>
        </w:tc>
        <w:tc>
          <w:tcPr>
            <w:tcW w:w="4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小黑河</w:t>
            </w:r>
          </w:p>
        </w:tc>
        <w:tc>
          <w:tcPr>
            <w:tcW w:w="457"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武川县</w:t>
            </w:r>
          </w:p>
        </w:tc>
        <w:tc>
          <w:tcPr>
            <w:tcW w:w="660" w:type="pct"/>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X=</w:t>
            </w:r>
            <w:r>
              <w:rPr>
                <w:rFonts w:cs="Times New Roman"/>
                <w:color w:val="000000"/>
                <w:kern w:val="0"/>
                <w:sz w:val="21"/>
                <w:szCs w:val="21"/>
              </w:rPr>
              <w:t>4541097.090</w:t>
            </w:r>
          </w:p>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Y=558731.462</w:t>
            </w:r>
          </w:p>
        </w:tc>
        <w:tc>
          <w:tcPr>
            <w:tcW w:w="5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呼和浩特市春华水务开发集团有限责任公司</w:t>
            </w:r>
          </w:p>
        </w:tc>
        <w:tc>
          <w:tcPr>
            <w:tcW w:w="55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管理范围</w:t>
            </w:r>
          </w:p>
        </w:tc>
        <w:tc>
          <w:tcPr>
            <w:tcW w:w="55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是</w:t>
            </w:r>
          </w:p>
        </w:tc>
        <w:tc>
          <w:tcPr>
            <w:tcW w:w="66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975</w:t>
            </w:r>
          </w:p>
        </w:tc>
        <w:tc>
          <w:tcPr>
            <w:tcW w:w="68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7623</w:t>
            </w:r>
          </w:p>
        </w:tc>
      </w:tr>
      <w:tr>
        <w:tblPrEx>
          <w:tblCellMar>
            <w:top w:w="0" w:type="dxa"/>
            <w:left w:w="108" w:type="dxa"/>
            <w:bottom w:w="0" w:type="dxa"/>
            <w:right w:w="108" w:type="dxa"/>
          </w:tblCellMar>
        </w:tblPrEx>
        <w:trPr>
          <w:trHeight w:val="280" w:hRule="atLeast"/>
        </w:trPr>
        <w:tc>
          <w:tcPr>
            <w:tcW w:w="45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40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457"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660"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p>
        </w:tc>
        <w:tc>
          <w:tcPr>
            <w:tcW w:w="55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保护范围</w:t>
            </w:r>
          </w:p>
        </w:tc>
        <w:tc>
          <w:tcPr>
            <w:tcW w:w="55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是</w:t>
            </w:r>
          </w:p>
        </w:tc>
        <w:tc>
          <w:tcPr>
            <w:tcW w:w="66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1</w:t>
            </w:r>
            <w:r>
              <w:rPr>
                <w:rFonts w:cs="Times New Roman"/>
                <w:color w:val="000000"/>
                <w:kern w:val="0"/>
                <w:sz w:val="21"/>
                <w:szCs w:val="21"/>
              </w:rPr>
              <w:t>928</w:t>
            </w:r>
          </w:p>
        </w:tc>
        <w:tc>
          <w:tcPr>
            <w:tcW w:w="68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1976</w:t>
            </w:r>
          </w:p>
        </w:tc>
      </w:tr>
    </w:tbl>
    <w:p>
      <w:pPr>
        <w:ind w:firstLine="560"/>
      </w:pPr>
    </w:p>
    <w:p>
      <w:pPr>
        <w:ind w:firstLine="560"/>
        <w:sectPr>
          <w:headerReference r:id="rId27" w:type="default"/>
          <w:footerReference r:id="rId28" w:type="default"/>
          <w:pgSz w:w="16838" w:h="11906" w:orient="landscape"/>
          <w:pgMar w:top="1800" w:right="1440" w:bottom="1800" w:left="1440" w:header="851" w:footer="992" w:gutter="0"/>
          <w:cols w:space="425" w:num="1"/>
          <w:docGrid w:type="lines" w:linePitch="381" w:charSpace="0"/>
        </w:sectPr>
      </w:pPr>
    </w:p>
    <w:p>
      <w:pPr>
        <w:ind w:firstLine="0" w:firstLineChars="0"/>
        <w:jc w:val="center"/>
        <w:outlineLvl w:val="2"/>
        <w:rPr>
          <w:b/>
        </w:rPr>
      </w:pPr>
      <w:bookmarkStart w:id="35" w:name="_Toc60218862"/>
      <w:r>
        <w:rPr>
          <w:rFonts w:hint="eastAsia"/>
          <w:b/>
        </w:rPr>
        <w:t xml:space="preserve">附表1 </w:t>
      </w:r>
      <w:r>
        <w:rPr>
          <w:b/>
        </w:rPr>
        <w:t xml:space="preserve"> </w:t>
      </w:r>
      <w:r>
        <w:rPr>
          <w:rFonts w:hint="eastAsia"/>
          <w:b/>
        </w:rPr>
        <w:t>哈拉沁水库管理范围拐角点坐标表</w:t>
      </w:r>
      <w:bookmarkEnd w:id="35"/>
    </w:p>
    <w:p>
      <w:pPr>
        <w:widowControl/>
        <w:spacing w:line="240" w:lineRule="auto"/>
        <w:ind w:firstLine="0" w:firstLineChars="0"/>
        <w:jc w:val="center"/>
        <w:rPr>
          <w:rFonts w:cs="Times New Roman"/>
          <w:color w:val="000000"/>
          <w:kern w:val="0"/>
          <w:sz w:val="21"/>
          <w:szCs w:val="21"/>
        </w:rPr>
        <w:sectPr>
          <w:headerReference r:id="rId29" w:type="default"/>
          <w:footerReference r:id="rId30" w:type="default"/>
          <w:pgSz w:w="11906" w:h="16838"/>
          <w:pgMar w:top="1440" w:right="1800" w:bottom="1440" w:left="1800" w:header="851" w:footer="992" w:gutter="0"/>
          <w:cols w:space="425" w:num="1"/>
          <w:docGrid w:type="lines" w:linePitch="381" w:charSpace="0"/>
        </w:sectPr>
      </w:pPr>
      <w:bookmarkStart w:id="36" w:name="RANGE!A1:C445"/>
    </w:p>
    <w:bookmarkEnd w:id="36"/>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66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45"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1903"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坐标X</w:t>
            </w:r>
          </w:p>
        </w:tc>
        <w:tc>
          <w:tcPr>
            <w:tcW w:w="2052"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坐标Y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4540843.71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557980.18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4540873.76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558149.30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4540888.78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558215.34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4540910.33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558255.74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4541142.27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558296.77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4541338.52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558360.52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4541495.78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558528.78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4541551.77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558554.75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4541652.12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558564.53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4541740.09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558587.86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4541819.86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558621.12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4541997.14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558579.51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4542046.36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558548.07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4542104.60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558525.07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4542184.32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558557.61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4542271.34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558566.91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4542312.12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558546.31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4542340.05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558547.93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4542394.55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558579.18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4542514.91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558583.39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4542594.10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558582.74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4542643.63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558536.79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4542685.22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558540.47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4542733.00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558592.62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4542823.92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558615.63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4542879.51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558579.95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4542959.42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558569.78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4543025.94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558493.19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HG29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4543059.36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558373.62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HG30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4543076.42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558318.05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HG31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4543125.81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558301.17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HG32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4543167.24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558313.51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HG33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4543203.87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558344.62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GL034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4543257.71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558431.73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GL035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4543359.39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558440.79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GL036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4543413.66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558407.89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GL037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4543459.07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558407.64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GL038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4543517.22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558424.59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GL039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4543609.98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558432.13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4543700.24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558408.11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4543811.08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558403.39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4543910.30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558300.19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4543957.22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558230.79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4544034.96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558167.89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4544061.07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558082.35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4544062.93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558015.76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4544102.49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557983.70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4544179.86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557986.65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GL049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4544256.69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557953.63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4544331.48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557944.49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4544426.46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557964.88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4544526.80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557999.77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4544598.66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558035.04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4544704.04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558027.39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4544783.63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558031.32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4544856.13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558037.72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4544964.15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558036.35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4545041.71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558053.67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GL059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4545099.63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558055.48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GL060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4545113.98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558134.89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GL061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4545106.65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558242.07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GL062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4545081.05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558242.50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GL063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4545001.13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558244.44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GL064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4544868.63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558240.34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GL065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4544771.84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558287.16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GL066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4544699.21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558278.64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HG67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4544601.72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558279.25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HG68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4544475.86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558251.45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HG69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4544353.63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558317.54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4544355.79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558363.08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4544290.86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558427.62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4544245.89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558546.82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4544176.80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558580.47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4544091.81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558607.48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4544040.33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558670.35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4543993.38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558725.19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4543855.86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558786.56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4543748.53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558803.41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HG79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4543559.28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558822.65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4543543.21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558958.59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4543639.06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559037.61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4543711.08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559091.28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4543838.38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559183.35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4544008.30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559217.47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4544052.92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559186.16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4544131.25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559225.59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4544238.29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559263.94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4544370.44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559202.33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HG89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4544471.06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559134.09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4544509.10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559128.66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4544560.00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559154.82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4544697.27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559190.22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4544818.54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559226.13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4544905.39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559251.74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4545051.23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559367.99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4545164.39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559362.09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4545218.54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559421.52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4545295.35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559590.72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HG99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4545377.99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559717.13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4545453.30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559862.28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4545607.07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559851.50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4545686.45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559715.37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4545669.47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559595.51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4545677.81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559507.63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4545743.22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559408.56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4545858.45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559310.67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4545963.86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559269.51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4546040.69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559550.72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HG109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4546116.83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559829.38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4546063.66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559843.88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4545958.31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559882.75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4545913.36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559944.83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4545819.34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560063.51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4545792.03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560150.42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4545767.43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560182.52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4545706.38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560200.34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4545628.82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560228.15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4545558.25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560274.82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HG119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4545503.91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560291.63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4545451.88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560276.58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4545340.45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560289.53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4545258.88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560360.58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4545211.71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560363.67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4545163.10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560334.38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4545148.09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560290.52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4545179.49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560224.63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4545184.20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560059.65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4545094.75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559950.23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HG129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4544896.85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559787.84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4544773.97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559652.22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4544605.91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559615.00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4544476.46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559707.02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4544461.19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559791.03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4544383.99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559852.57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4544305.64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559901.82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4544246.06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559898.79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4544154.32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559941.46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4544130.53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560048.21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HG139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4544089.67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560089.65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4544037.91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560090.89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4543990.88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560050.56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4543957.48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559937.15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4543909.11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559859.48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4543733.14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559859.48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4543531.56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559872.34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4543374.58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559880.80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4543115.23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559798.30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4543068.32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559933.93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HG149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4543025.30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559999.13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4542984.21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559995.93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4542958.36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559931.23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4542921.06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559851.04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4542834.41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559786.77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4542689.66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559749.69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4542614.37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559689.79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4542499.30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559543.82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4542291.60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559446.64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4542186.83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559459.75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HG159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4542085.70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559387.77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4541979.10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559349.15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4541905.94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559297.56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4541819.93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559280.80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4541774.28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559260.78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4541728.83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559226.14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4541524.87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559206.18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4541305.08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559166.08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4541200.89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559136.08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4540986.03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559174.75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HG169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4540751.42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559030.02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4540733.29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558864.24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HG171</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4540710.80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558719.78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HG172</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4540676.09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558565.15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HG173</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4540645.90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558490.64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HG174</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4540577.83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558327.41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HG175</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4540577.10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558207.68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HG176</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4540635.83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558213.04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HG177</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4540639.25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558107.34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HG178</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4540629.28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558040.39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HG179</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4540629.28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558040.39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HG180</w:t>
            </w:r>
          </w:p>
        </w:tc>
        <w:tc>
          <w:tcPr>
            <w:tcW w:w="190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4540758.40 </w:t>
            </w:r>
          </w:p>
        </w:tc>
        <w:tc>
          <w:tcPr>
            <w:tcW w:w="2052"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558001.17 </w:t>
            </w:r>
          </w:p>
        </w:tc>
      </w:tr>
    </w:tbl>
    <w:p>
      <w:pPr>
        <w:ind w:firstLine="560"/>
        <w:sectPr>
          <w:type w:val="continuous"/>
          <w:pgSz w:w="11906" w:h="16838"/>
          <w:pgMar w:top="1440" w:right="1800" w:bottom="1440" w:left="1800" w:header="851" w:footer="992" w:gutter="0"/>
          <w:cols w:space="0" w:num="2"/>
          <w:docGrid w:type="lines" w:linePitch="381" w:charSpace="0"/>
        </w:sectPr>
      </w:pPr>
    </w:p>
    <w:p>
      <w:pPr>
        <w:ind w:firstLine="560"/>
      </w:pPr>
    </w:p>
    <w:p>
      <w:pPr>
        <w:ind w:firstLine="560"/>
      </w:pPr>
    </w:p>
    <w:p>
      <w:pPr>
        <w:ind w:firstLine="560"/>
      </w:pPr>
    </w:p>
    <w:p>
      <w:pPr>
        <w:ind w:firstLine="560"/>
      </w:pPr>
    </w:p>
    <w:p>
      <w:pPr>
        <w:ind w:firstLine="560"/>
      </w:pPr>
    </w:p>
    <w:p>
      <w:pPr>
        <w:ind w:firstLine="560"/>
      </w:pPr>
    </w:p>
    <w:p>
      <w:pPr>
        <w:ind w:firstLine="560"/>
      </w:pPr>
    </w:p>
    <w:p>
      <w:pPr>
        <w:ind w:firstLine="0" w:firstLineChars="0"/>
        <w:jc w:val="center"/>
        <w:outlineLvl w:val="2"/>
        <w:rPr>
          <w:b/>
        </w:rPr>
      </w:pPr>
      <w:bookmarkStart w:id="37" w:name="_Toc60218863"/>
      <w:r>
        <w:rPr>
          <w:rFonts w:hint="eastAsia"/>
          <w:b/>
        </w:rPr>
        <w:t xml:space="preserve">附表2 </w:t>
      </w:r>
      <w:r>
        <w:rPr>
          <w:b/>
        </w:rPr>
        <w:t xml:space="preserve"> </w:t>
      </w:r>
      <w:r>
        <w:rPr>
          <w:rFonts w:hint="eastAsia"/>
          <w:b/>
        </w:rPr>
        <w:t>哈拉沁水库保护范围拐角点坐标表</w:t>
      </w:r>
      <w:bookmarkEnd w:id="37"/>
    </w:p>
    <w:p>
      <w:pPr>
        <w:widowControl/>
        <w:spacing w:line="240" w:lineRule="auto"/>
        <w:ind w:firstLine="0" w:firstLineChars="0"/>
        <w:jc w:val="center"/>
        <w:rPr>
          <w:rFonts w:cs="Times New Roman"/>
          <w:color w:val="000000"/>
          <w:kern w:val="0"/>
          <w:sz w:val="21"/>
          <w:szCs w:val="21"/>
        </w:rPr>
        <w:sectPr>
          <w:type w:val="continuous"/>
          <w:pgSz w:w="11906" w:h="16838"/>
          <w:pgMar w:top="1440" w:right="1800" w:bottom="1440" w:left="1800" w:header="851" w:footer="992" w:gutter="0"/>
          <w:cols w:space="425" w:num="1"/>
          <w:docGrid w:type="lines" w:linePitch="381" w:charSpace="0"/>
        </w:sectPr>
      </w:pPr>
      <w:bookmarkStart w:id="38" w:name="RANGE!A1:C440"/>
    </w:p>
    <w:bookmarkEnd w:id="38"/>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803"/>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15"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2063"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坐标X</w:t>
            </w:r>
          </w:p>
        </w:tc>
        <w:tc>
          <w:tcPr>
            <w:tcW w:w="1923"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坐标Y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4540821.32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557671.80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4540941.42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557965.13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4541025.72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558004.35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4541088.30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558037.58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4541204.06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558106.55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4541414.76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558176.23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4541502.35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558217.47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4541576.02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558423.72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4541648.23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558514.56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4541744.00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558535.32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4541825.28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558569.21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4541902.23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558554.68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4542020.77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558504.42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4542104.90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558471.20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4542196.66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558508.64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4542261.98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558515.62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4542301.59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558495.61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4542354.70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558498.70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4542408.67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558529.64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4542515.58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558533.38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4542574.31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558532.90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4542625.92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558485.02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4542708.97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558492.38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4542759.77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558547.82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4542815.16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558561.84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4542862.00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558531.77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4542934.18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558522.59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4542980.81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558468.90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HB29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4543011.38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558359.55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4543036.12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558278.98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4543124.77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558248.69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4543191.59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558268.59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4543242.26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4543287.08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558384.15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4543347.50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558389.53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4543399.56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558357.97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4543466.07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558357.60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4543526.33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558375.17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HB39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4543605.44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558381.60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4543692.65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558358.39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4543788.93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558354.29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4543871.28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558268.63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4543919.97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558196.61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4543991.61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558138.65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4544011.28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4544013.59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557991.39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4544085.61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557933.02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4544170.49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557936.26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HB49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4544243.52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557904.87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4544333.76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557893.84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4544439.97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557916.64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4544546.09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557953.54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4544608.54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557984.19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4544703.46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557977.30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4544787.06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557981.43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4544858.02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557987.69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4544969.35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557986.28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4545048.00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558003.84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HB59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4545141.64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558006.77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4545164.28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558132.10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4545153.40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558291.28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4545082.08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558292.49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4545000.96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558294.46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4544879.36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558290.70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4544780.49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558338.52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4544696.44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558328.66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4544596.42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558329.28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4544483.26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558304.29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HB69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4544405.06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558346.57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4544406.78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558382.89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4544333.81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558455.43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4544285.66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558583.06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4544195.42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558627.02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4544121.09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558650.64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4544078.67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558702.45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4544024.04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558766.26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4543870.17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558834.93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4543754.94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558853.01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HB79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4543604.22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558868.34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4543596.06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558937.36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4543669.92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558998.25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4543740.68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559050.98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4543858.87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559136.47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4543997.13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559164.23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4544048.69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559128.05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4544151.00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559179.55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4544235.80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559209.93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4544345.69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559158.70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HB89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4544452.55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559086.23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4544517.80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559076.91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4544577.89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559107.80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4544710.61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559142.03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4544832.71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559178.18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4544928.91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559206.55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4545067.56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559317.07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4545185.42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559310.93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4545260.80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559393.68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4545339.30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559566.56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HB99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4545421.22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559691.87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4545482.56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559810.10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4545577.19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559803.47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4545634.51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559705.19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4545619.14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559596.67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4545629.22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559490.49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4545705.42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559375.07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4545832.46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559267.14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4545997.45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559202.72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4546088.93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559537.54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HB109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4546178.25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559864.45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4546078.92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559891.55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4545989.89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559924.39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4545953.23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559975.03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4545864.27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560087.31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4545837.08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560173.83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4545797.16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560225.92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4545721.84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560247.91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4545651.37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560273.18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4545579.86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560320.47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HB119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4545504.39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560343.82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4545447.66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560327.41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4545361.61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560337.41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4545278.99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560409.37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4545199.33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560414.59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4545121.70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560367.80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4545094.18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560287.42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4545129.81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560212.65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4545133.69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560076.86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4545059.19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559985.73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HB129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4544862.28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559824.15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4544747.61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559697.59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4544616.78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559668.62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4544522.02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559735.98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4544507.03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559818.43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4544412.97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559893.41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HB135</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37553295.4914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4429643.0644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HB136</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37553292.1606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4429645.1298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HB137</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37553287.3029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4429649.1779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HB138</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37553235.5743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4429692.2851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HB139</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37553231.9600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4429696.8030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HB140</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37553215.4872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4429717.3938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HB141</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37553181.6832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4429751.3979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HB142</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37553167.3624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4429778.9654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HB143</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37553151.7069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4429792.9192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HB144</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37553134.5401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4429809.9126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HB145</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37553112.5968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4429831.6342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HB146</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37553082.2769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4429873.4711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HB147</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37553062.7377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4429913.3233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HB148</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37553051.2918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4429935.9520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HB149</w:t>
            </w:r>
          </w:p>
        </w:tc>
        <w:tc>
          <w:tcPr>
            <w:tcW w:w="206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37553034.4626 </w:t>
            </w:r>
          </w:p>
        </w:tc>
        <w:tc>
          <w:tcPr>
            <w:tcW w:w="1923"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 xml:space="preserve">4429962.7595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4542912.44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559951.06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4542881.08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559883.64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4542812.50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559832.77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4542666.90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559795.48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4542578.70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559725.31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4542467.37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559584.08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4542283.49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559498.05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4542173.70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559511.78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HB159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4542062.26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559432.46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4541955.77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559393.87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4541885.87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559344.59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4541804.92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559328.81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4541748.73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559304.17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4541709.82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559274.51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4541479.89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559255.74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4541293.65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559247.80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4541154.20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559263.53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4540897.59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559356.61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HB169</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4540628.71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559190.15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HB170</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4540656.14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558910.04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HB171</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4540632.84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558760.25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HB172</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4540616.72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558599.72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HB173</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4540599.65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558509.66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HB174</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4540527.89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558337.56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HB175</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4540526.76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558152.87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HB176</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4540541.56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558045.51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HB177</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4540484.77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557769.74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r>
              <w:rPr>
                <w:rFonts w:hint="eastAsia" w:ascii="等线" w:hAnsi="等线" w:eastAsia="等线"/>
                <w:color w:val="000000"/>
                <w:sz w:val="22"/>
              </w:rPr>
              <w:t>HB178</w:t>
            </w:r>
          </w:p>
        </w:tc>
        <w:tc>
          <w:tcPr>
            <w:tcW w:w="206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4540661.30 </w:t>
            </w:r>
          </w:p>
        </w:tc>
        <w:tc>
          <w:tcPr>
            <w:tcW w:w="1923" w:type="pct"/>
            <w:shd w:val="clear" w:color="auto" w:fill="auto"/>
            <w:noWrap/>
            <w:vAlign w:val="bottom"/>
          </w:tcPr>
          <w:p>
            <w:pPr>
              <w:widowControl/>
              <w:spacing w:line="240" w:lineRule="auto"/>
              <w:ind w:firstLine="0" w:firstLineChars="0"/>
              <w:jc w:val="center"/>
              <w:rPr>
                <w:rFonts w:cs="Times New Roman"/>
                <w:color w:val="000000"/>
                <w:kern w:val="0"/>
                <w:sz w:val="21"/>
                <w:szCs w:val="21"/>
              </w:rPr>
            </w:pPr>
            <w:r>
              <w:rPr>
                <w:rFonts w:hint="eastAsia" w:ascii="等线" w:hAnsi="等线" w:eastAsia="等线"/>
                <w:color w:val="000000"/>
                <w:sz w:val="22"/>
              </w:rPr>
              <w:t xml:space="preserve">557718.04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5"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p>
        </w:tc>
        <w:tc>
          <w:tcPr>
            <w:tcW w:w="2063"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p>
        </w:tc>
        <w:tc>
          <w:tcPr>
            <w:tcW w:w="1923" w:type="pct"/>
            <w:shd w:val="clear" w:color="auto" w:fill="auto"/>
            <w:noWrap/>
            <w:vAlign w:val="bottom"/>
          </w:tcPr>
          <w:p>
            <w:pPr>
              <w:widowControl/>
              <w:spacing w:line="240" w:lineRule="auto"/>
              <w:ind w:firstLine="0" w:firstLineChars="0"/>
              <w:jc w:val="center"/>
              <w:rPr>
                <w:rFonts w:hint="eastAsia" w:ascii="等线" w:hAnsi="等线" w:eastAsia="等线"/>
                <w:color w:val="000000"/>
                <w:sz w:val="22"/>
              </w:rPr>
            </w:pPr>
          </w:p>
        </w:tc>
      </w:tr>
    </w:tbl>
    <w:p>
      <w:pPr>
        <w:ind w:firstLine="560"/>
        <w:sectPr>
          <w:type w:val="continuous"/>
          <w:pgSz w:w="11906" w:h="16838"/>
          <w:pgMar w:top="1440" w:right="1800" w:bottom="1440" w:left="1800" w:header="851" w:footer="992" w:gutter="0"/>
          <w:cols w:space="0" w:num="2"/>
          <w:docGrid w:type="lines" w:linePitch="381" w:charSpace="0"/>
        </w:sectPr>
      </w:pPr>
    </w:p>
    <w:p>
      <w:pPr>
        <w:ind w:firstLine="560"/>
      </w:pPr>
    </w:p>
    <w:p>
      <w:pPr>
        <w:ind w:firstLine="560"/>
      </w:pPr>
    </w:p>
    <w:p>
      <w:pPr>
        <w:ind w:firstLine="560"/>
      </w:pPr>
    </w:p>
    <w:p>
      <w:pPr>
        <w:ind w:firstLine="0" w:firstLineChars="0"/>
      </w:pPr>
    </w:p>
    <w:p>
      <w:pPr>
        <w:ind w:firstLine="0" w:firstLineChars="0"/>
      </w:pPr>
    </w:p>
    <w:sectPr>
      <w:type w:val="continuous"/>
      <w:pgSz w:w="11906" w:h="16838"/>
      <w:pgMar w:top="1440" w:right="1800" w:bottom="1440" w:left="180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18</w:t>
    </w:r>
    <w:r>
      <w:rPr>
        <w:sz w:val="20"/>
        <w:szCs w:val="20"/>
      </w:rPr>
      <w:fldChar w:fldCharType="end"/>
    </w:r>
    <w:r>
      <w:rPr>
        <w:rFonts w:hint="eastAsia"/>
        <w:sz w:val="20"/>
        <w:szCs w:val="20"/>
      </w:rPr>
      <w:t xml:space="preserve">                       2020年1</w:t>
    </w:r>
    <w:r>
      <w:rPr>
        <w:sz w:val="20"/>
        <w:szCs w:val="20"/>
      </w:rPr>
      <w:t>2</w:t>
    </w:r>
    <w:r>
      <w:rPr>
        <w:rFonts w:hint="eastAsia"/>
        <w:sz w:val="20"/>
        <w:szCs w:val="20"/>
      </w:rPr>
      <w:t>月</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21</w:t>
    </w:r>
    <w:r>
      <w:rPr>
        <w:sz w:val="20"/>
        <w:szCs w:val="20"/>
      </w:rPr>
      <w:fldChar w:fldCharType="end"/>
    </w:r>
    <w:r>
      <w:rPr>
        <w:rFonts w:hint="eastAsia"/>
        <w:sz w:val="20"/>
        <w:szCs w:val="20"/>
      </w:rPr>
      <w:t xml:space="preserve">                       2020年1</w:t>
    </w:r>
    <w:r>
      <w:rPr>
        <w:sz w:val="20"/>
        <w:szCs w:val="20"/>
      </w:rPr>
      <w:t>2</w:t>
    </w:r>
    <w:r>
      <w:rPr>
        <w:rFonts w:hint="eastAsia"/>
        <w:sz w:val="20"/>
        <w:szCs w:val="20"/>
      </w:rPr>
      <w:t>月</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24</w:t>
    </w:r>
    <w:r>
      <w:rPr>
        <w:sz w:val="20"/>
        <w:szCs w:val="20"/>
      </w:rPr>
      <w:fldChar w:fldCharType="end"/>
    </w:r>
    <w:r>
      <w:rPr>
        <w:rFonts w:hint="eastAsia"/>
        <w:sz w:val="20"/>
        <w:szCs w:val="20"/>
      </w:rPr>
      <w:t xml:space="preserve">    </w:t>
    </w:r>
    <w:r>
      <w:rPr>
        <w:sz w:val="20"/>
        <w:szCs w:val="20"/>
      </w:rPr>
      <w:t xml:space="preserve">                                    </w:t>
    </w:r>
    <w:r>
      <w:rPr>
        <w:rFonts w:hint="eastAsia"/>
        <w:sz w:val="20"/>
        <w:szCs w:val="20"/>
      </w:rPr>
      <w:t xml:space="preserve">               2020年1</w:t>
    </w:r>
    <w:r>
      <w:rPr>
        <w:sz w:val="20"/>
        <w:szCs w:val="20"/>
      </w:rPr>
      <w:t>2</w:t>
    </w:r>
    <w:r>
      <w:rPr>
        <w:rFonts w:hint="eastAsia"/>
        <w:sz w:val="20"/>
        <w:szCs w:val="20"/>
      </w:rPr>
      <w:t>月</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38</w:t>
    </w:r>
    <w:r>
      <w:rPr>
        <w:sz w:val="20"/>
        <w:szCs w:val="20"/>
      </w:rPr>
      <w:fldChar w:fldCharType="end"/>
    </w:r>
    <w:r>
      <w:rPr>
        <w:rFonts w:hint="eastAsia"/>
        <w:sz w:val="20"/>
        <w:szCs w:val="20"/>
      </w:rPr>
      <w:t xml:space="preserve">                       2020年1</w:t>
    </w:r>
    <w:r>
      <w:rPr>
        <w:sz w:val="20"/>
        <w:szCs w:val="20"/>
      </w:rPr>
      <w:t>2</w:t>
    </w:r>
    <w:r>
      <w:rPr>
        <w:rFonts w:hint="eastAsia"/>
        <w:sz w:val="20"/>
        <w:szCs w:val="20"/>
      </w:rPr>
      <w:t>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8001145"/>
      <w:docPartObj>
        <w:docPartGallery w:val="autotext"/>
      </w:docPartObj>
    </w:sdtPr>
    <w:sdtEndPr>
      <w:rPr>
        <w:sz w:val="20"/>
        <w:szCs w:val="20"/>
      </w:rPr>
    </w:sdtEndPr>
    <w:sdtContent>
      <w:p>
        <w:pPr>
          <w:pStyle w:val="25"/>
          <w:ind w:firstLine="360"/>
          <w:jc w:val="center"/>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i</w:t>
        </w:r>
        <w:r>
          <w:rPr>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w:t>
    </w:r>
    <w:r>
      <w:rPr>
        <w:sz w:val="20"/>
        <w:szCs w:val="20"/>
      </w:rPr>
      <w:fldChar w:fldCharType="end"/>
    </w:r>
    <w:r>
      <w:rPr>
        <w:rFonts w:hint="eastAsia"/>
        <w:sz w:val="20"/>
        <w:szCs w:val="20"/>
      </w:rPr>
      <w:t xml:space="preserve">                       2020年1</w:t>
    </w:r>
    <w:r>
      <w:rPr>
        <w:sz w:val="20"/>
        <w:szCs w:val="20"/>
      </w:rPr>
      <w:t>2</w:t>
    </w:r>
    <w:r>
      <w:rPr>
        <w:rFonts w:hint="eastAsia"/>
        <w:sz w:val="20"/>
        <w:szCs w:val="20"/>
      </w:rPr>
      <w:t>月</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t xml:space="preserve">   </w:t>
    </w:r>
    <w:r>
      <w:rPr>
        <w:rFonts w:hint="eastAsia"/>
        <w:sz w:val="20"/>
        <w:szCs w:val="20"/>
      </w:rPr>
      <w:t xml:space="preserve">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9</w:t>
    </w:r>
    <w:r>
      <w:rPr>
        <w:sz w:val="20"/>
        <w:szCs w:val="20"/>
      </w:rPr>
      <w:fldChar w:fldCharType="end"/>
    </w:r>
    <w:r>
      <w:rPr>
        <w:rFonts w:hint="eastAsia"/>
        <w:sz w:val="20"/>
        <w:szCs w:val="20"/>
      </w:rPr>
      <w:t xml:space="preserve">                       2020年1</w:t>
    </w:r>
    <w:r>
      <w:rPr>
        <w:sz w:val="20"/>
        <w:szCs w:val="20"/>
      </w:rPr>
      <w:t>2</w:t>
    </w:r>
    <w:r>
      <w:rPr>
        <w:rFonts w:hint="eastAsia"/>
        <w:sz w:val="20"/>
        <w:szCs w:val="20"/>
      </w:rPr>
      <w:t>月</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t xml:space="preserve">                           </w:t>
    </w:r>
    <w:r>
      <w:rPr>
        <w:rFonts w:hint="eastAsia"/>
        <w:sz w:val="20"/>
        <w:szCs w:val="20"/>
      </w:rPr>
      <w:t xml:space="preserve">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10</w:t>
    </w:r>
    <w:r>
      <w:rPr>
        <w:sz w:val="20"/>
        <w:szCs w:val="20"/>
      </w:rPr>
      <w:fldChar w:fldCharType="end"/>
    </w:r>
    <w:r>
      <w:rPr>
        <w:rFonts w:hint="eastAsia"/>
        <w:sz w:val="20"/>
        <w:szCs w:val="20"/>
      </w:rPr>
      <w:t xml:space="preserve">             </w:t>
    </w:r>
    <w:r>
      <w:rPr>
        <w:sz w:val="20"/>
        <w:szCs w:val="20"/>
      </w:rPr>
      <w:t xml:space="preserve">                             </w:t>
    </w:r>
    <w:r>
      <w:rPr>
        <w:rFonts w:hint="eastAsia"/>
        <w:sz w:val="20"/>
        <w:szCs w:val="20"/>
      </w:rPr>
      <w:t xml:space="preserve">          2020年1</w:t>
    </w:r>
    <w:r>
      <w:rPr>
        <w:sz w:val="20"/>
        <w:szCs w:val="20"/>
      </w:rPr>
      <w:t>2</w:t>
    </w:r>
    <w:r>
      <w:rPr>
        <w:rFonts w:hint="eastAsia"/>
        <w:sz w:val="20"/>
        <w:szCs w:val="20"/>
      </w:rPr>
      <w:t>月</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11</w:t>
    </w:r>
    <w:r>
      <w:rPr>
        <w:sz w:val="20"/>
        <w:szCs w:val="20"/>
      </w:rPr>
      <w:fldChar w:fldCharType="end"/>
    </w:r>
    <w:r>
      <w:rPr>
        <w:rFonts w:hint="eastAsia"/>
        <w:sz w:val="20"/>
        <w:szCs w:val="20"/>
      </w:rPr>
      <w:t xml:space="preserve">                       2020年1</w:t>
    </w:r>
    <w:r>
      <w:rPr>
        <w:sz w:val="20"/>
        <w:szCs w:val="20"/>
      </w:rPr>
      <w:t>2</w:t>
    </w:r>
    <w:r>
      <w:rPr>
        <w:rFonts w:hint="eastAsia"/>
        <w:sz w:val="20"/>
        <w:szCs w:val="20"/>
      </w:rPr>
      <w:t>月</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line="240" w:lineRule="auto"/>
      <w:ind w:firstLine="0" w:firstLineChars="0"/>
      <w:jc w:val="both"/>
      <w:rPr>
        <w:sz w:val="20"/>
        <w:szCs w:val="20"/>
      </w:rPr>
    </w:pPr>
    <w:r>
      <w:rPr>
        <w:rFonts w:hint="eastAsia"/>
        <w:sz w:val="20"/>
        <w:szCs w:val="20"/>
      </w:rPr>
      <w:t xml:space="preserve">呼和浩特市鑫图测绘工程有限责任公司            </w:t>
    </w: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16</w:t>
    </w:r>
    <w:r>
      <w:rPr>
        <w:sz w:val="20"/>
        <w:szCs w:val="20"/>
      </w:rPr>
      <w:fldChar w:fldCharType="end"/>
    </w:r>
    <w:r>
      <w:rPr>
        <w:rFonts w:hint="eastAsia"/>
        <w:sz w:val="20"/>
        <w:szCs w:val="20"/>
      </w:rPr>
      <w:t xml:space="preserve">                       2020年1</w:t>
    </w:r>
    <w:r>
      <w:rPr>
        <w:sz w:val="20"/>
        <w:szCs w:val="20"/>
      </w:rPr>
      <w:t>2</w:t>
    </w:r>
    <w:r>
      <w:rPr>
        <w:rFonts w:hint="eastAsia"/>
        <w:sz w:val="20"/>
        <w:szCs w:val="20"/>
      </w:rPr>
      <w:t>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0" w:firstLineChars="0"/>
      <w:rPr>
        <w:sz w:val="21"/>
        <w:szCs w:val="21"/>
      </w:rPr>
    </w:pPr>
    <w:r>
      <w:rPr>
        <w:rFonts w:hint="eastAsia"/>
        <w:sz w:val="21"/>
        <w:szCs w:val="21"/>
      </w:rPr>
      <w:t>呼和浩特市哈拉沁水库管理范围和保护范围划定报告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4YWFlNDYwMDcwOWUxNWVkMWJhMzE1ODEwNGZlMDcifQ=="/>
  </w:docVars>
  <w:rsids>
    <w:rsidRoot w:val="004872CE"/>
    <w:rsid w:val="00007352"/>
    <w:rsid w:val="00017EA7"/>
    <w:rsid w:val="00030A40"/>
    <w:rsid w:val="00047BBD"/>
    <w:rsid w:val="000564B8"/>
    <w:rsid w:val="0006128C"/>
    <w:rsid w:val="0007478A"/>
    <w:rsid w:val="0008148D"/>
    <w:rsid w:val="000855F7"/>
    <w:rsid w:val="000931DA"/>
    <w:rsid w:val="00094C26"/>
    <w:rsid w:val="000A3425"/>
    <w:rsid w:val="000B6715"/>
    <w:rsid w:val="000B72A5"/>
    <w:rsid w:val="000E7C78"/>
    <w:rsid w:val="000F16FF"/>
    <w:rsid w:val="000F497D"/>
    <w:rsid w:val="00141242"/>
    <w:rsid w:val="00156223"/>
    <w:rsid w:val="001671C3"/>
    <w:rsid w:val="00171B91"/>
    <w:rsid w:val="001900ED"/>
    <w:rsid w:val="001A2B2A"/>
    <w:rsid w:val="001B1CFE"/>
    <w:rsid w:val="001B1D20"/>
    <w:rsid w:val="001B31AD"/>
    <w:rsid w:val="001B7A0C"/>
    <w:rsid w:val="001C5D92"/>
    <w:rsid w:val="001D0203"/>
    <w:rsid w:val="001D244D"/>
    <w:rsid w:val="001D2A72"/>
    <w:rsid w:val="001D766B"/>
    <w:rsid w:val="001E03FB"/>
    <w:rsid w:val="001E2969"/>
    <w:rsid w:val="002044B5"/>
    <w:rsid w:val="0020453A"/>
    <w:rsid w:val="00216F8A"/>
    <w:rsid w:val="002366BA"/>
    <w:rsid w:val="00242241"/>
    <w:rsid w:val="00244A10"/>
    <w:rsid w:val="00245258"/>
    <w:rsid w:val="00267599"/>
    <w:rsid w:val="00285935"/>
    <w:rsid w:val="002A2705"/>
    <w:rsid w:val="002A382B"/>
    <w:rsid w:val="002B3C9B"/>
    <w:rsid w:val="002B5232"/>
    <w:rsid w:val="002D3676"/>
    <w:rsid w:val="00307FC0"/>
    <w:rsid w:val="003111E2"/>
    <w:rsid w:val="00327722"/>
    <w:rsid w:val="003307F9"/>
    <w:rsid w:val="00333BA3"/>
    <w:rsid w:val="00344115"/>
    <w:rsid w:val="003526F9"/>
    <w:rsid w:val="003545DB"/>
    <w:rsid w:val="003842FB"/>
    <w:rsid w:val="003843E6"/>
    <w:rsid w:val="003E2EEC"/>
    <w:rsid w:val="0042415E"/>
    <w:rsid w:val="00424D8E"/>
    <w:rsid w:val="00440A64"/>
    <w:rsid w:val="00444DEC"/>
    <w:rsid w:val="00471952"/>
    <w:rsid w:val="004872CE"/>
    <w:rsid w:val="004B2458"/>
    <w:rsid w:val="004B51C7"/>
    <w:rsid w:val="004E38D6"/>
    <w:rsid w:val="004E702C"/>
    <w:rsid w:val="004E74B0"/>
    <w:rsid w:val="00516DBC"/>
    <w:rsid w:val="005278F1"/>
    <w:rsid w:val="00537D66"/>
    <w:rsid w:val="00580B96"/>
    <w:rsid w:val="005A5AD8"/>
    <w:rsid w:val="005A71F3"/>
    <w:rsid w:val="005C2B9C"/>
    <w:rsid w:val="005C6173"/>
    <w:rsid w:val="005D120C"/>
    <w:rsid w:val="005E2ACC"/>
    <w:rsid w:val="00603190"/>
    <w:rsid w:val="0060581A"/>
    <w:rsid w:val="00620DDB"/>
    <w:rsid w:val="00621320"/>
    <w:rsid w:val="00640BB8"/>
    <w:rsid w:val="00644132"/>
    <w:rsid w:val="006504B5"/>
    <w:rsid w:val="00667AF5"/>
    <w:rsid w:val="00672D8E"/>
    <w:rsid w:val="0068782E"/>
    <w:rsid w:val="006A06D9"/>
    <w:rsid w:val="006A1CD6"/>
    <w:rsid w:val="006A728C"/>
    <w:rsid w:val="006D325A"/>
    <w:rsid w:val="006E75C9"/>
    <w:rsid w:val="006F735D"/>
    <w:rsid w:val="006F7449"/>
    <w:rsid w:val="0070216B"/>
    <w:rsid w:val="00725923"/>
    <w:rsid w:val="00735429"/>
    <w:rsid w:val="00745B5E"/>
    <w:rsid w:val="0076577D"/>
    <w:rsid w:val="00776D88"/>
    <w:rsid w:val="007853A4"/>
    <w:rsid w:val="00794C49"/>
    <w:rsid w:val="007A07DE"/>
    <w:rsid w:val="007A719B"/>
    <w:rsid w:val="007C3830"/>
    <w:rsid w:val="007E0232"/>
    <w:rsid w:val="007E55B1"/>
    <w:rsid w:val="007F3FE0"/>
    <w:rsid w:val="00825CC3"/>
    <w:rsid w:val="00827896"/>
    <w:rsid w:val="00833CAD"/>
    <w:rsid w:val="00852BAC"/>
    <w:rsid w:val="00854B03"/>
    <w:rsid w:val="00872C49"/>
    <w:rsid w:val="008744C2"/>
    <w:rsid w:val="00887712"/>
    <w:rsid w:val="00887928"/>
    <w:rsid w:val="00896248"/>
    <w:rsid w:val="00896D1A"/>
    <w:rsid w:val="00896FE1"/>
    <w:rsid w:val="00897826"/>
    <w:rsid w:val="008B2081"/>
    <w:rsid w:val="008F68FB"/>
    <w:rsid w:val="00905CD2"/>
    <w:rsid w:val="009207C6"/>
    <w:rsid w:val="0094448B"/>
    <w:rsid w:val="00946BBE"/>
    <w:rsid w:val="00955760"/>
    <w:rsid w:val="0097369A"/>
    <w:rsid w:val="00977E56"/>
    <w:rsid w:val="00981E96"/>
    <w:rsid w:val="009A4612"/>
    <w:rsid w:val="009B3A65"/>
    <w:rsid w:val="009D484D"/>
    <w:rsid w:val="009E00A0"/>
    <w:rsid w:val="009F1EBF"/>
    <w:rsid w:val="009F268F"/>
    <w:rsid w:val="009F462F"/>
    <w:rsid w:val="00A05A0A"/>
    <w:rsid w:val="00A16391"/>
    <w:rsid w:val="00A213C2"/>
    <w:rsid w:val="00A22B70"/>
    <w:rsid w:val="00A27F3D"/>
    <w:rsid w:val="00A7312B"/>
    <w:rsid w:val="00A84AE3"/>
    <w:rsid w:val="00A94E31"/>
    <w:rsid w:val="00AA119F"/>
    <w:rsid w:val="00AB44D6"/>
    <w:rsid w:val="00AB7E4B"/>
    <w:rsid w:val="00AC61E8"/>
    <w:rsid w:val="00AD2E08"/>
    <w:rsid w:val="00AF46DF"/>
    <w:rsid w:val="00B521C5"/>
    <w:rsid w:val="00B61836"/>
    <w:rsid w:val="00B76A44"/>
    <w:rsid w:val="00B80CB8"/>
    <w:rsid w:val="00B823B4"/>
    <w:rsid w:val="00B86DE3"/>
    <w:rsid w:val="00B97037"/>
    <w:rsid w:val="00BC10D6"/>
    <w:rsid w:val="00BE08AB"/>
    <w:rsid w:val="00C006B7"/>
    <w:rsid w:val="00C171D2"/>
    <w:rsid w:val="00C244AA"/>
    <w:rsid w:val="00C31577"/>
    <w:rsid w:val="00C361F3"/>
    <w:rsid w:val="00C4239C"/>
    <w:rsid w:val="00C449D2"/>
    <w:rsid w:val="00C72627"/>
    <w:rsid w:val="00C7753C"/>
    <w:rsid w:val="00C959A9"/>
    <w:rsid w:val="00C959C9"/>
    <w:rsid w:val="00C95DFA"/>
    <w:rsid w:val="00CC6B82"/>
    <w:rsid w:val="00CD594E"/>
    <w:rsid w:val="00CF2280"/>
    <w:rsid w:val="00CF4118"/>
    <w:rsid w:val="00CF73B7"/>
    <w:rsid w:val="00D1546D"/>
    <w:rsid w:val="00D65791"/>
    <w:rsid w:val="00D81667"/>
    <w:rsid w:val="00D8626E"/>
    <w:rsid w:val="00D8663F"/>
    <w:rsid w:val="00D959F9"/>
    <w:rsid w:val="00DC3432"/>
    <w:rsid w:val="00DC5E5C"/>
    <w:rsid w:val="00DD0929"/>
    <w:rsid w:val="00DE728E"/>
    <w:rsid w:val="00DF2672"/>
    <w:rsid w:val="00E13A89"/>
    <w:rsid w:val="00E24D58"/>
    <w:rsid w:val="00E451FB"/>
    <w:rsid w:val="00E813FE"/>
    <w:rsid w:val="00E90F57"/>
    <w:rsid w:val="00EA0A26"/>
    <w:rsid w:val="00EC37DF"/>
    <w:rsid w:val="00F03394"/>
    <w:rsid w:val="00F1108D"/>
    <w:rsid w:val="00F138E4"/>
    <w:rsid w:val="00F14276"/>
    <w:rsid w:val="00F222F8"/>
    <w:rsid w:val="00F23FAC"/>
    <w:rsid w:val="00F34DB2"/>
    <w:rsid w:val="00F4238C"/>
    <w:rsid w:val="00F6733A"/>
    <w:rsid w:val="00F80511"/>
    <w:rsid w:val="00FA54FC"/>
    <w:rsid w:val="00FC1200"/>
    <w:rsid w:val="00FD735A"/>
    <w:rsid w:val="00FF2A79"/>
    <w:rsid w:val="00FF4C0A"/>
    <w:rsid w:val="01B67F10"/>
    <w:rsid w:val="08057A5A"/>
    <w:rsid w:val="0ADA51CD"/>
    <w:rsid w:val="0EF83A92"/>
    <w:rsid w:val="1B135C4E"/>
    <w:rsid w:val="2B3F3181"/>
    <w:rsid w:val="2C3F376B"/>
    <w:rsid w:val="31794E91"/>
    <w:rsid w:val="3B4D02BA"/>
    <w:rsid w:val="4CC50B32"/>
    <w:rsid w:val="4EF94EB7"/>
    <w:rsid w:val="51A05BB9"/>
    <w:rsid w:val="58424D3D"/>
    <w:rsid w:val="5A1F65F5"/>
    <w:rsid w:val="6430510D"/>
    <w:rsid w:val="69DC2A3E"/>
    <w:rsid w:val="75660855"/>
    <w:rsid w:val="7CE262A3"/>
    <w:rsid w:val="7D877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8"/>
      <w:szCs w:val="22"/>
      <w:lang w:val="en-US" w:eastAsia="zh-CN" w:bidi="ar-SA"/>
    </w:rPr>
  </w:style>
  <w:style w:type="paragraph" w:styleId="2">
    <w:name w:val="heading 1"/>
    <w:basedOn w:val="1"/>
    <w:next w:val="1"/>
    <w:link w:val="44"/>
    <w:qFormat/>
    <w:uiPriority w:val="9"/>
    <w:pPr>
      <w:keepNext/>
      <w:keepLines/>
      <w:spacing w:before="50" w:beforeLines="50" w:after="50" w:afterLines="50"/>
      <w:ind w:firstLine="0" w:firstLineChars="0"/>
      <w:jc w:val="center"/>
      <w:outlineLvl w:val="0"/>
    </w:pPr>
    <w:rPr>
      <w:rFonts w:eastAsia="黑体"/>
      <w:bCs/>
      <w:kern w:val="44"/>
      <w:sz w:val="32"/>
      <w:szCs w:val="44"/>
    </w:rPr>
  </w:style>
  <w:style w:type="paragraph" w:styleId="3">
    <w:name w:val="heading 2"/>
    <w:basedOn w:val="1"/>
    <w:next w:val="1"/>
    <w:link w:val="4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7"/>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link w:val="48"/>
    <w:unhideWhenUsed/>
    <w:qFormat/>
    <w:uiPriority w:val="9"/>
    <w:pPr>
      <w:keepNext/>
      <w:keepLines/>
      <w:widowControl/>
      <w:spacing w:before="200"/>
      <w:outlineLvl w:val="4"/>
    </w:pPr>
    <w:rPr>
      <w:rFonts w:asciiTheme="majorHAnsi" w:hAnsiTheme="majorHAnsi" w:eastAsiaTheme="majorEastAsia" w:cstheme="majorBidi"/>
      <w:color w:val="1F4E79" w:themeColor="accent1" w:themeShade="80"/>
      <w:kern w:val="0"/>
      <w:sz w:val="24"/>
    </w:rPr>
  </w:style>
  <w:style w:type="paragraph" w:styleId="7">
    <w:name w:val="heading 6"/>
    <w:basedOn w:val="1"/>
    <w:next w:val="1"/>
    <w:link w:val="49"/>
    <w:unhideWhenUsed/>
    <w:qFormat/>
    <w:uiPriority w:val="9"/>
    <w:pPr>
      <w:keepNext/>
      <w:keepLines/>
      <w:widowControl/>
      <w:spacing w:before="200"/>
      <w:outlineLvl w:val="5"/>
    </w:pPr>
    <w:rPr>
      <w:rFonts w:asciiTheme="majorHAnsi" w:hAnsiTheme="majorHAnsi" w:eastAsiaTheme="majorEastAsia" w:cstheme="majorBidi"/>
      <w:i/>
      <w:iCs/>
      <w:color w:val="1F4E79" w:themeColor="accent1" w:themeShade="80"/>
      <w:kern w:val="0"/>
      <w:sz w:val="24"/>
    </w:rPr>
  </w:style>
  <w:style w:type="paragraph" w:styleId="8">
    <w:name w:val="heading 7"/>
    <w:basedOn w:val="1"/>
    <w:next w:val="1"/>
    <w:link w:val="50"/>
    <w:semiHidden/>
    <w:unhideWhenUsed/>
    <w:qFormat/>
    <w:uiPriority w:val="9"/>
    <w:pPr>
      <w:keepNext/>
      <w:keepLines/>
      <w:widowControl/>
      <w:spacing w:before="200"/>
      <w:outlineLvl w:val="6"/>
    </w:pPr>
    <w:rPr>
      <w:rFonts w:asciiTheme="majorHAnsi" w:hAnsiTheme="majorHAnsi" w:eastAsiaTheme="majorEastAsia" w:cstheme="majorBidi"/>
      <w:i/>
      <w:iCs/>
      <w:color w:val="404040" w:themeColor="text1" w:themeTint="BF"/>
      <w:kern w:val="0"/>
      <w:sz w:val="24"/>
      <w14:textFill>
        <w14:solidFill>
          <w14:schemeClr w14:val="tx1">
            <w14:lumMod w14:val="75000"/>
            <w14:lumOff w14:val="25000"/>
          </w14:schemeClr>
        </w14:solidFill>
      </w14:textFill>
    </w:rPr>
  </w:style>
  <w:style w:type="paragraph" w:styleId="9">
    <w:name w:val="heading 8"/>
    <w:basedOn w:val="1"/>
    <w:next w:val="1"/>
    <w:link w:val="51"/>
    <w:semiHidden/>
    <w:unhideWhenUsed/>
    <w:qFormat/>
    <w:uiPriority w:val="9"/>
    <w:pPr>
      <w:keepNext/>
      <w:keepLines/>
      <w:widowControl/>
      <w:spacing w:before="200"/>
      <w:outlineLvl w:val="7"/>
    </w:pPr>
    <w:rPr>
      <w:rFonts w:asciiTheme="majorHAnsi" w:hAnsiTheme="majorHAnsi" w:eastAsiaTheme="majorEastAsia" w:cstheme="majorBidi"/>
      <w:color w:val="5B9BD5" w:themeColor="accent1"/>
      <w:kern w:val="0"/>
      <w:sz w:val="20"/>
      <w:szCs w:val="20"/>
      <w14:textFill>
        <w14:solidFill>
          <w14:schemeClr w14:val="accent1"/>
        </w14:solidFill>
      </w14:textFill>
    </w:rPr>
  </w:style>
  <w:style w:type="paragraph" w:styleId="10">
    <w:name w:val="heading 9"/>
    <w:basedOn w:val="1"/>
    <w:next w:val="1"/>
    <w:link w:val="52"/>
    <w:semiHidden/>
    <w:unhideWhenUsed/>
    <w:qFormat/>
    <w:uiPriority w:val="9"/>
    <w:pPr>
      <w:keepNext/>
      <w:keepLines/>
      <w:widowControl/>
      <w:spacing w:before="200"/>
      <w:outlineLvl w:val="8"/>
    </w:pPr>
    <w:rPr>
      <w:rFonts w:asciiTheme="majorHAnsi" w:hAnsiTheme="majorHAnsi" w:eastAsiaTheme="majorEastAsia" w:cstheme="majorBidi"/>
      <w:i/>
      <w:iCs/>
      <w:color w:val="404040" w:themeColor="text1" w:themeTint="BF"/>
      <w:kern w:val="0"/>
      <w:sz w:val="20"/>
      <w:szCs w:val="20"/>
      <w14:textFill>
        <w14:solidFill>
          <w14:schemeClr w14:val="tx1">
            <w14:lumMod w14:val="75000"/>
            <w14:lumOff w14:val="25000"/>
          </w14:schemeClr>
        </w14:solidFill>
      </w14:textFill>
    </w:rPr>
  </w:style>
  <w:style w:type="character" w:default="1" w:styleId="37">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12">
    <w:name w:val="Normal Indent"/>
    <w:basedOn w:val="1"/>
    <w:link w:val="69"/>
    <w:qFormat/>
    <w:uiPriority w:val="0"/>
    <w:pPr>
      <w:adjustRightInd w:val="0"/>
      <w:snapToGrid w:val="0"/>
      <w:spacing w:line="300" w:lineRule="auto"/>
      <w:ind w:firstLine="480"/>
    </w:pPr>
    <w:rPr>
      <w:rFonts w:ascii="宋体" w:hAnsi="宋体"/>
      <w:bCs/>
      <w:color w:val="000000"/>
      <w:kern w:val="0"/>
      <w:sz w:val="24"/>
      <w:szCs w:val="30"/>
    </w:rPr>
  </w:style>
  <w:style w:type="paragraph" w:styleId="13">
    <w:name w:val="caption"/>
    <w:basedOn w:val="1"/>
    <w:next w:val="1"/>
    <w:unhideWhenUsed/>
    <w:qFormat/>
    <w:uiPriority w:val="35"/>
    <w:pPr>
      <w:widowControl/>
      <w:spacing w:line="240" w:lineRule="auto"/>
    </w:pPr>
    <w:rPr>
      <w:b/>
      <w:bCs/>
      <w:color w:val="5B9BD5" w:themeColor="accent1"/>
      <w:kern w:val="0"/>
      <w:sz w:val="18"/>
      <w:szCs w:val="18"/>
      <w14:textFill>
        <w14:solidFill>
          <w14:schemeClr w14:val="accent1"/>
        </w14:solidFill>
      </w14:textFill>
    </w:rPr>
  </w:style>
  <w:style w:type="paragraph" w:styleId="14">
    <w:name w:val="Document Map"/>
    <w:basedOn w:val="1"/>
    <w:link w:val="70"/>
    <w:semiHidden/>
    <w:unhideWhenUsed/>
    <w:qFormat/>
    <w:uiPriority w:val="99"/>
    <w:pPr>
      <w:widowControl/>
    </w:pPr>
    <w:rPr>
      <w:rFonts w:ascii="宋体"/>
      <w:kern w:val="0"/>
      <w:sz w:val="18"/>
      <w:szCs w:val="18"/>
    </w:rPr>
  </w:style>
  <w:style w:type="paragraph" w:styleId="15">
    <w:name w:val="annotation text"/>
    <w:basedOn w:val="1"/>
    <w:link w:val="72"/>
    <w:semiHidden/>
    <w:unhideWhenUsed/>
    <w:qFormat/>
    <w:uiPriority w:val="99"/>
    <w:pPr>
      <w:jc w:val="left"/>
    </w:pPr>
    <w:rPr>
      <w:sz w:val="24"/>
    </w:rPr>
  </w:style>
  <w:style w:type="paragraph" w:styleId="16">
    <w:name w:val="Body Text"/>
    <w:basedOn w:val="1"/>
    <w:link w:val="74"/>
    <w:qFormat/>
    <w:uiPriority w:val="0"/>
    <w:pPr>
      <w:widowControl/>
      <w:spacing w:after="120"/>
      <w:jc w:val="left"/>
    </w:pPr>
    <w:rPr>
      <w:rFonts w:cs="Times New Roman"/>
      <w:bCs/>
      <w:kern w:val="0"/>
      <w:sz w:val="24"/>
      <w:szCs w:val="28"/>
    </w:rPr>
  </w:style>
  <w:style w:type="paragraph" w:styleId="17">
    <w:name w:val="Body Text Indent"/>
    <w:basedOn w:val="1"/>
    <w:link w:val="75"/>
    <w:qFormat/>
    <w:uiPriority w:val="0"/>
    <w:pPr>
      <w:widowControl/>
      <w:spacing w:after="120"/>
      <w:ind w:left="420" w:leftChars="200"/>
      <w:jc w:val="left"/>
    </w:pPr>
    <w:rPr>
      <w:rFonts w:cs="Times New Roman"/>
      <w:bCs/>
      <w:kern w:val="0"/>
      <w:sz w:val="24"/>
      <w:szCs w:val="28"/>
    </w:rPr>
  </w:style>
  <w:style w:type="paragraph" w:styleId="18">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9">
    <w:name w:val="toc 3"/>
    <w:basedOn w:val="1"/>
    <w:next w:val="1"/>
    <w:unhideWhenUsed/>
    <w:qFormat/>
    <w:uiPriority w:val="39"/>
    <w:pPr>
      <w:ind w:left="840" w:leftChars="400"/>
    </w:pPr>
  </w:style>
  <w:style w:type="paragraph" w:styleId="20">
    <w:name w:val="Plain Text"/>
    <w:basedOn w:val="1"/>
    <w:link w:val="171"/>
    <w:qFormat/>
    <w:uiPriority w:val="0"/>
    <w:pPr>
      <w:spacing w:line="240" w:lineRule="auto"/>
      <w:ind w:firstLine="0" w:firstLineChars="0"/>
    </w:pPr>
    <w:rPr>
      <w:rFonts w:ascii="宋体" w:hAnsi="Courier New" w:cs="Times New Roman"/>
      <w:sz w:val="21"/>
      <w:szCs w:val="20"/>
    </w:rPr>
  </w:style>
  <w:style w:type="paragraph" w:styleId="21">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22">
    <w:name w:val="Date"/>
    <w:basedOn w:val="1"/>
    <w:next w:val="1"/>
    <w:link w:val="76"/>
    <w:semiHidden/>
    <w:unhideWhenUsed/>
    <w:qFormat/>
    <w:uiPriority w:val="99"/>
    <w:pPr>
      <w:widowControl/>
      <w:ind w:left="100" w:leftChars="2500"/>
    </w:pPr>
    <w:rPr>
      <w:kern w:val="0"/>
      <w:sz w:val="24"/>
    </w:rPr>
  </w:style>
  <w:style w:type="paragraph" w:styleId="23">
    <w:name w:val="Body Text Indent 2"/>
    <w:basedOn w:val="1"/>
    <w:link w:val="78"/>
    <w:qFormat/>
    <w:uiPriority w:val="0"/>
    <w:pPr>
      <w:adjustRightInd w:val="0"/>
      <w:snapToGrid w:val="0"/>
      <w:spacing w:line="324" w:lineRule="auto"/>
      <w:ind w:firstLine="490"/>
    </w:pPr>
    <w:rPr>
      <w:sz w:val="24"/>
      <w:szCs w:val="24"/>
    </w:rPr>
  </w:style>
  <w:style w:type="paragraph" w:styleId="24">
    <w:name w:val="Balloon Text"/>
    <w:basedOn w:val="1"/>
    <w:link w:val="60"/>
    <w:semiHidden/>
    <w:unhideWhenUsed/>
    <w:qFormat/>
    <w:uiPriority w:val="99"/>
    <w:pPr>
      <w:spacing w:line="240" w:lineRule="auto"/>
    </w:pPr>
    <w:rPr>
      <w:sz w:val="18"/>
      <w:szCs w:val="18"/>
    </w:rPr>
  </w:style>
  <w:style w:type="paragraph" w:styleId="25">
    <w:name w:val="footer"/>
    <w:basedOn w:val="1"/>
    <w:link w:val="54"/>
    <w:unhideWhenUsed/>
    <w:qFormat/>
    <w:uiPriority w:val="99"/>
    <w:pPr>
      <w:tabs>
        <w:tab w:val="center" w:pos="4153"/>
        <w:tab w:val="right" w:pos="8306"/>
      </w:tabs>
      <w:snapToGrid w:val="0"/>
      <w:jc w:val="left"/>
    </w:pPr>
    <w:rPr>
      <w:sz w:val="18"/>
      <w:szCs w:val="18"/>
    </w:rPr>
  </w:style>
  <w:style w:type="paragraph" w:styleId="26">
    <w:name w:val="header"/>
    <w:basedOn w:val="1"/>
    <w:link w:val="53"/>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right" w:leader="dot" w:pos="8296"/>
      </w:tabs>
      <w:ind w:firstLine="0" w:firstLineChars="0"/>
    </w:pPr>
  </w:style>
  <w:style w:type="paragraph" w:styleId="28">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29">
    <w:name w:val="Subtitle"/>
    <w:basedOn w:val="1"/>
    <w:next w:val="1"/>
    <w:link w:val="79"/>
    <w:qFormat/>
    <w:uiPriority w:val="11"/>
    <w:pPr>
      <w:widowControl/>
    </w:pPr>
    <w:rPr>
      <w:rFonts w:asciiTheme="majorHAnsi" w:hAnsiTheme="majorHAnsi" w:eastAsiaTheme="majorEastAsia" w:cstheme="majorBidi"/>
      <w:i/>
      <w:iCs/>
      <w:color w:val="5B9BD5" w:themeColor="accent1"/>
      <w:spacing w:val="15"/>
      <w:kern w:val="0"/>
      <w:sz w:val="24"/>
      <w:szCs w:val="24"/>
      <w14:textFill>
        <w14:solidFill>
          <w14:schemeClr w14:val="accent1"/>
        </w14:solidFill>
      </w14:textFill>
    </w:rPr>
  </w:style>
  <w:style w:type="paragraph" w:styleId="30">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31">
    <w:name w:val="Body Text Indent 3"/>
    <w:basedOn w:val="1"/>
    <w:link w:val="80"/>
    <w:qFormat/>
    <w:uiPriority w:val="0"/>
    <w:pPr>
      <w:widowControl/>
      <w:spacing w:after="120"/>
      <w:ind w:left="420" w:leftChars="200"/>
      <w:jc w:val="left"/>
    </w:pPr>
    <w:rPr>
      <w:rFonts w:cs="Times New Roman"/>
      <w:bCs/>
      <w:kern w:val="0"/>
      <w:sz w:val="16"/>
      <w:szCs w:val="16"/>
    </w:rPr>
  </w:style>
  <w:style w:type="paragraph" w:styleId="32">
    <w:name w:val="toc 2"/>
    <w:basedOn w:val="1"/>
    <w:next w:val="1"/>
    <w:unhideWhenUsed/>
    <w:qFormat/>
    <w:uiPriority w:val="39"/>
    <w:pPr>
      <w:ind w:left="420" w:leftChars="200"/>
    </w:pPr>
  </w:style>
  <w:style w:type="paragraph" w:styleId="33">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34">
    <w:name w:val="Title"/>
    <w:basedOn w:val="1"/>
    <w:next w:val="1"/>
    <w:link w:val="81"/>
    <w:qFormat/>
    <w:uiPriority w:val="10"/>
    <w:pPr>
      <w:widowControl/>
      <w:pBdr>
        <w:bottom w:val="single" w:color="5B9BD5" w:themeColor="accent1" w:sz="8" w:space="4"/>
      </w:pBdr>
      <w:spacing w:after="300" w:line="240" w:lineRule="auto"/>
      <w:contextualSpacing/>
    </w:pPr>
    <w:rPr>
      <w:rFonts w:asciiTheme="majorHAnsi" w:hAnsiTheme="majorHAnsi" w:eastAsiaTheme="majorEastAsia" w:cstheme="majorBidi"/>
      <w:color w:val="333F50" w:themeColor="text2" w:themeShade="BF"/>
      <w:spacing w:val="5"/>
      <w:kern w:val="28"/>
      <w:sz w:val="52"/>
      <w:szCs w:val="52"/>
    </w:rPr>
  </w:style>
  <w:style w:type="paragraph" w:styleId="35">
    <w:name w:val="annotation subject"/>
    <w:basedOn w:val="15"/>
    <w:next w:val="15"/>
    <w:link w:val="82"/>
    <w:semiHidden/>
    <w:unhideWhenUsed/>
    <w:qFormat/>
    <w:uiPriority w:val="99"/>
    <w:rPr>
      <w:b/>
      <w:bCs/>
    </w:rPr>
  </w:style>
  <w:style w:type="character" w:styleId="38">
    <w:name w:val="Strong"/>
    <w:basedOn w:val="37"/>
    <w:qFormat/>
    <w:uiPriority w:val="22"/>
    <w:rPr>
      <w:b/>
      <w:bCs/>
    </w:rPr>
  </w:style>
  <w:style w:type="character" w:styleId="39">
    <w:name w:val="page number"/>
    <w:basedOn w:val="37"/>
    <w:qFormat/>
    <w:uiPriority w:val="0"/>
  </w:style>
  <w:style w:type="character" w:styleId="40">
    <w:name w:val="FollowedHyperlink"/>
    <w:basedOn w:val="37"/>
    <w:semiHidden/>
    <w:unhideWhenUsed/>
    <w:qFormat/>
    <w:uiPriority w:val="99"/>
    <w:rPr>
      <w:color w:val="954F72"/>
      <w:u w:val="single"/>
    </w:rPr>
  </w:style>
  <w:style w:type="character" w:styleId="41">
    <w:name w:val="Emphasis"/>
    <w:basedOn w:val="37"/>
    <w:qFormat/>
    <w:uiPriority w:val="20"/>
    <w:rPr>
      <w:i/>
      <w:iCs/>
    </w:rPr>
  </w:style>
  <w:style w:type="character" w:styleId="42">
    <w:name w:val="Hyperlink"/>
    <w:basedOn w:val="37"/>
    <w:unhideWhenUsed/>
    <w:qFormat/>
    <w:uiPriority w:val="99"/>
    <w:rPr>
      <w:color w:val="0563C1" w:themeColor="hyperlink"/>
      <w:u w:val="single"/>
      <w14:textFill>
        <w14:solidFill>
          <w14:schemeClr w14:val="hlink"/>
        </w14:solidFill>
      </w14:textFill>
    </w:rPr>
  </w:style>
  <w:style w:type="character" w:styleId="43">
    <w:name w:val="annotation reference"/>
    <w:basedOn w:val="37"/>
    <w:unhideWhenUsed/>
    <w:qFormat/>
    <w:uiPriority w:val="99"/>
    <w:rPr>
      <w:sz w:val="21"/>
      <w:szCs w:val="21"/>
    </w:rPr>
  </w:style>
  <w:style w:type="character" w:customStyle="1" w:styleId="44">
    <w:name w:val="标题 1 字符"/>
    <w:basedOn w:val="37"/>
    <w:link w:val="2"/>
    <w:qFormat/>
    <w:uiPriority w:val="9"/>
    <w:rPr>
      <w:rFonts w:ascii="Times New Roman" w:hAnsi="Times New Roman" w:eastAsia="黑体"/>
      <w:bCs/>
      <w:kern w:val="44"/>
      <w:sz w:val="32"/>
      <w:szCs w:val="44"/>
    </w:rPr>
  </w:style>
  <w:style w:type="character" w:customStyle="1" w:styleId="45">
    <w:name w:val="标题 2 字符"/>
    <w:basedOn w:val="37"/>
    <w:link w:val="3"/>
    <w:qFormat/>
    <w:uiPriority w:val="9"/>
    <w:rPr>
      <w:rFonts w:asciiTheme="majorHAnsi" w:hAnsiTheme="majorHAnsi" w:eastAsiaTheme="majorEastAsia" w:cstheme="majorBidi"/>
      <w:b/>
      <w:bCs/>
      <w:sz w:val="32"/>
      <w:szCs w:val="32"/>
    </w:rPr>
  </w:style>
  <w:style w:type="character" w:customStyle="1" w:styleId="46">
    <w:name w:val="标题 3 字符"/>
    <w:basedOn w:val="37"/>
    <w:link w:val="4"/>
    <w:qFormat/>
    <w:uiPriority w:val="9"/>
    <w:rPr>
      <w:rFonts w:ascii="Times New Roman" w:hAnsi="Times New Roman" w:eastAsia="宋体"/>
      <w:b/>
      <w:bCs/>
      <w:sz w:val="32"/>
      <w:szCs w:val="32"/>
    </w:rPr>
  </w:style>
  <w:style w:type="character" w:customStyle="1" w:styleId="47">
    <w:name w:val="标题 4 字符"/>
    <w:basedOn w:val="37"/>
    <w:link w:val="5"/>
    <w:qFormat/>
    <w:uiPriority w:val="9"/>
    <w:rPr>
      <w:rFonts w:asciiTheme="majorHAnsi" w:hAnsiTheme="majorHAnsi" w:eastAsiaTheme="majorEastAsia" w:cstheme="majorBidi"/>
      <w:b/>
      <w:bCs/>
      <w:sz w:val="28"/>
      <w:szCs w:val="28"/>
    </w:rPr>
  </w:style>
  <w:style w:type="character" w:customStyle="1" w:styleId="48">
    <w:name w:val="标题 5 字符"/>
    <w:basedOn w:val="37"/>
    <w:link w:val="6"/>
    <w:qFormat/>
    <w:uiPriority w:val="9"/>
    <w:rPr>
      <w:rFonts w:asciiTheme="majorHAnsi" w:hAnsiTheme="majorHAnsi" w:eastAsiaTheme="majorEastAsia" w:cstheme="majorBidi"/>
      <w:color w:val="1F4E79" w:themeColor="accent1" w:themeShade="80"/>
      <w:kern w:val="0"/>
      <w:sz w:val="24"/>
    </w:rPr>
  </w:style>
  <w:style w:type="character" w:customStyle="1" w:styleId="49">
    <w:name w:val="标题 6 字符"/>
    <w:basedOn w:val="37"/>
    <w:link w:val="7"/>
    <w:qFormat/>
    <w:uiPriority w:val="9"/>
    <w:rPr>
      <w:rFonts w:asciiTheme="majorHAnsi" w:hAnsiTheme="majorHAnsi" w:eastAsiaTheme="majorEastAsia" w:cstheme="majorBidi"/>
      <w:i/>
      <w:iCs/>
      <w:color w:val="1F4E79" w:themeColor="accent1" w:themeShade="80"/>
      <w:kern w:val="0"/>
      <w:sz w:val="24"/>
    </w:rPr>
  </w:style>
  <w:style w:type="character" w:customStyle="1" w:styleId="50">
    <w:name w:val="标题 7 字符"/>
    <w:basedOn w:val="37"/>
    <w:link w:val="8"/>
    <w:semiHidden/>
    <w:qFormat/>
    <w:uiPriority w:val="9"/>
    <w:rPr>
      <w:rFonts w:asciiTheme="majorHAnsi" w:hAnsiTheme="majorHAnsi" w:eastAsiaTheme="majorEastAsia" w:cstheme="majorBidi"/>
      <w:i/>
      <w:iCs/>
      <w:color w:val="404040" w:themeColor="text1" w:themeTint="BF"/>
      <w:kern w:val="0"/>
      <w:sz w:val="24"/>
      <w14:textFill>
        <w14:solidFill>
          <w14:schemeClr w14:val="tx1">
            <w14:lumMod w14:val="75000"/>
            <w14:lumOff w14:val="25000"/>
          </w14:schemeClr>
        </w14:solidFill>
      </w14:textFill>
    </w:rPr>
  </w:style>
  <w:style w:type="character" w:customStyle="1" w:styleId="51">
    <w:name w:val="标题 8 字符"/>
    <w:basedOn w:val="37"/>
    <w:link w:val="9"/>
    <w:semiHidden/>
    <w:qFormat/>
    <w:uiPriority w:val="9"/>
    <w:rPr>
      <w:rFonts w:asciiTheme="majorHAnsi" w:hAnsiTheme="majorHAnsi" w:eastAsiaTheme="majorEastAsia" w:cstheme="majorBidi"/>
      <w:color w:val="5B9BD5" w:themeColor="accent1"/>
      <w:kern w:val="0"/>
      <w:sz w:val="20"/>
      <w:szCs w:val="20"/>
      <w14:textFill>
        <w14:solidFill>
          <w14:schemeClr w14:val="accent1"/>
        </w14:solidFill>
      </w14:textFill>
    </w:rPr>
  </w:style>
  <w:style w:type="character" w:customStyle="1" w:styleId="52">
    <w:name w:val="标题 9 字符"/>
    <w:basedOn w:val="37"/>
    <w:link w:val="10"/>
    <w:semiHidden/>
    <w:qFormat/>
    <w:uiPriority w:val="9"/>
    <w:rPr>
      <w:rFonts w:asciiTheme="majorHAnsi" w:hAnsiTheme="majorHAnsi" w:eastAsiaTheme="majorEastAsia" w:cstheme="majorBidi"/>
      <w:i/>
      <w:iCs/>
      <w:color w:val="404040" w:themeColor="text1" w:themeTint="BF"/>
      <w:kern w:val="0"/>
      <w:sz w:val="20"/>
      <w:szCs w:val="20"/>
      <w14:textFill>
        <w14:solidFill>
          <w14:schemeClr w14:val="tx1">
            <w14:lumMod w14:val="75000"/>
            <w14:lumOff w14:val="25000"/>
          </w14:schemeClr>
        </w14:solidFill>
      </w14:textFill>
    </w:rPr>
  </w:style>
  <w:style w:type="character" w:customStyle="1" w:styleId="53">
    <w:name w:val="页眉 字符"/>
    <w:basedOn w:val="37"/>
    <w:link w:val="26"/>
    <w:qFormat/>
    <w:uiPriority w:val="0"/>
    <w:rPr>
      <w:sz w:val="18"/>
      <w:szCs w:val="18"/>
    </w:rPr>
  </w:style>
  <w:style w:type="character" w:customStyle="1" w:styleId="54">
    <w:name w:val="页脚 字符"/>
    <w:basedOn w:val="37"/>
    <w:link w:val="25"/>
    <w:qFormat/>
    <w:uiPriority w:val="99"/>
    <w:rPr>
      <w:sz w:val="18"/>
      <w:szCs w:val="18"/>
    </w:rPr>
  </w:style>
  <w:style w:type="paragraph" w:customStyle="1" w:styleId="55">
    <w:name w:val="总标题"/>
    <w:link w:val="56"/>
    <w:qFormat/>
    <w:uiPriority w:val="0"/>
    <w:pPr>
      <w:adjustRightInd w:val="0"/>
      <w:snapToGrid w:val="0"/>
      <w:spacing w:before="50" w:beforeLines="50" w:after="200" w:line="1000" w:lineRule="exact"/>
      <w:ind w:firstLine="709"/>
      <w:jc w:val="center"/>
    </w:pPr>
    <w:rPr>
      <w:rFonts w:ascii="Times New Roman" w:hAnsi="Times New Roman" w:eastAsia="楷体_GB2312" w:cs="Times New Roman"/>
      <w:b/>
      <w:bCs/>
      <w:kern w:val="44"/>
      <w:sz w:val="52"/>
      <w:szCs w:val="52"/>
      <w:lang w:val="en-US" w:eastAsia="zh-CN" w:bidi="ar-SA"/>
    </w:rPr>
  </w:style>
  <w:style w:type="character" w:customStyle="1" w:styleId="56">
    <w:name w:val="总标题 Char"/>
    <w:link w:val="55"/>
    <w:qFormat/>
    <w:uiPriority w:val="0"/>
    <w:rPr>
      <w:rFonts w:ascii="Times New Roman" w:hAnsi="Times New Roman" w:eastAsia="楷体_GB2312" w:cs="Times New Roman"/>
      <w:b/>
      <w:bCs/>
      <w:kern w:val="44"/>
      <w:sz w:val="52"/>
      <w:szCs w:val="52"/>
    </w:rPr>
  </w:style>
  <w:style w:type="paragraph" w:customStyle="1" w:styleId="57">
    <w:name w:val="封面名称"/>
    <w:link w:val="58"/>
    <w:qFormat/>
    <w:uiPriority w:val="0"/>
    <w:pPr>
      <w:spacing w:after="200" w:line="360" w:lineRule="exact"/>
      <w:ind w:firstLine="562" w:firstLineChars="200"/>
      <w:jc w:val="center"/>
    </w:pPr>
    <w:rPr>
      <w:rFonts w:ascii="Times New Roman" w:hAnsi="Times New Roman" w:eastAsia="宋体" w:cs="Times New Roman"/>
      <w:b/>
      <w:kern w:val="0"/>
      <w:sz w:val="28"/>
      <w:szCs w:val="28"/>
      <w:lang w:val="en-US" w:eastAsia="zh-CN" w:bidi="ar-SA"/>
    </w:rPr>
  </w:style>
  <w:style w:type="character" w:customStyle="1" w:styleId="58">
    <w:name w:val="封面名称 Char"/>
    <w:link w:val="57"/>
    <w:qFormat/>
    <w:uiPriority w:val="0"/>
    <w:rPr>
      <w:rFonts w:ascii="Times New Roman" w:hAnsi="Times New Roman" w:eastAsia="宋体" w:cs="Times New Roman"/>
      <w:b/>
      <w:kern w:val="0"/>
      <w:sz w:val="28"/>
      <w:szCs w:val="28"/>
    </w:rPr>
  </w:style>
  <w:style w:type="paragraph" w:styleId="59">
    <w:name w:val="List Paragraph"/>
    <w:basedOn w:val="1"/>
    <w:qFormat/>
    <w:uiPriority w:val="34"/>
    <w:pPr>
      <w:ind w:firstLine="420"/>
    </w:pPr>
  </w:style>
  <w:style w:type="character" w:customStyle="1" w:styleId="60">
    <w:name w:val="批注框文本 字符"/>
    <w:basedOn w:val="37"/>
    <w:link w:val="24"/>
    <w:semiHidden/>
    <w:qFormat/>
    <w:uiPriority w:val="99"/>
    <w:rPr>
      <w:rFonts w:ascii="Times New Roman" w:hAnsi="Times New Roman" w:eastAsia="宋体"/>
      <w:sz w:val="18"/>
      <w:szCs w:val="18"/>
    </w:rPr>
  </w:style>
  <w:style w:type="paragraph" w:customStyle="1" w:styleId="61">
    <w:name w:val="图名"/>
    <w:basedOn w:val="1"/>
    <w:qFormat/>
    <w:uiPriority w:val="0"/>
    <w:pPr>
      <w:widowControl/>
      <w:spacing w:before="156" w:beforeLines="50" w:after="156" w:afterLines="50"/>
      <w:ind w:firstLine="482" w:firstLineChars="0"/>
      <w:jc w:val="center"/>
    </w:pPr>
    <w:rPr>
      <w:b/>
      <w:kern w:val="0"/>
      <w:sz w:val="24"/>
    </w:rPr>
  </w:style>
  <w:style w:type="paragraph" w:customStyle="1" w:styleId="62">
    <w:name w:val="图"/>
    <w:basedOn w:val="1"/>
    <w:link w:val="63"/>
    <w:qFormat/>
    <w:uiPriority w:val="0"/>
    <w:pPr>
      <w:snapToGrid w:val="0"/>
      <w:spacing w:after="120"/>
      <w:ind w:firstLine="0" w:firstLineChars="0"/>
      <w:jc w:val="center"/>
      <w:textAlignment w:val="center"/>
    </w:pPr>
    <w:rPr>
      <w:rFonts w:cs="Times New Roman"/>
      <w:bCs/>
      <w:kern w:val="0"/>
      <w:sz w:val="24"/>
      <w:szCs w:val="28"/>
    </w:rPr>
  </w:style>
  <w:style w:type="character" w:customStyle="1" w:styleId="63">
    <w:name w:val="图 字符"/>
    <w:basedOn w:val="37"/>
    <w:link w:val="62"/>
    <w:qFormat/>
    <w:uiPriority w:val="0"/>
    <w:rPr>
      <w:rFonts w:ascii="Times New Roman" w:hAnsi="Times New Roman" w:eastAsia="宋体" w:cs="Times New Roman"/>
      <w:bCs/>
      <w:kern w:val="0"/>
      <w:sz w:val="24"/>
      <w:szCs w:val="28"/>
    </w:rPr>
  </w:style>
  <w:style w:type="paragraph" w:customStyle="1" w:styleId="64">
    <w:name w:val="表格"/>
    <w:basedOn w:val="65"/>
    <w:qFormat/>
    <w:uiPriority w:val="0"/>
    <w:pPr>
      <w:widowControl/>
      <w:ind w:firstLine="0" w:firstLineChars="0"/>
      <w:jc w:val="center"/>
    </w:pPr>
    <w:rPr>
      <w:rFonts w:eastAsiaTheme="minorEastAsia"/>
      <w:kern w:val="0"/>
      <w:sz w:val="21"/>
    </w:rPr>
  </w:style>
  <w:style w:type="paragraph" w:styleId="65">
    <w:name w:val="No Spacing"/>
    <w:qFormat/>
    <w:uiPriority w:val="1"/>
    <w:pPr>
      <w:widowControl w:val="0"/>
      <w:ind w:firstLine="200" w:firstLineChars="200"/>
      <w:jc w:val="both"/>
    </w:pPr>
    <w:rPr>
      <w:rFonts w:ascii="Times New Roman" w:hAnsi="Times New Roman" w:eastAsia="宋体" w:cstheme="minorBidi"/>
      <w:kern w:val="2"/>
      <w:sz w:val="28"/>
      <w:szCs w:val="22"/>
      <w:lang w:val="en-US" w:eastAsia="zh-CN" w:bidi="ar-SA"/>
    </w:rPr>
  </w:style>
  <w:style w:type="paragraph" w:customStyle="1" w:styleId="66">
    <w:name w:val="表格标题"/>
    <w:basedOn w:val="1"/>
    <w:qFormat/>
    <w:uiPriority w:val="0"/>
    <w:pPr>
      <w:snapToGrid w:val="0"/>
      <w:spacing w:before="50" w:beforeLines="50" w:after="25" w:afterLines="25"/>
      <w:ind w:firstLine="0" w:firstLineChars="0"/>
      <w:jc w:val="center"/>
      <w:textAlignment w:val="center"/>
      <w:outlineLvl w:val="4"/>
    </w:pPr>
    <w:rPr>
      <w:b/>
      <w:kern w:val="0"/>
      <w:sz w:val="24"/>
      <w:szCs w:val="24"/>
    </w:rPr>
  </w:style>
  <w:style w:type="paragraph" w:customStyle="1" w:styleId="67">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68">
    <w:name w:val="表文字"/>
    <w:qFormat/>
    <w:uiPriority w:val="0"/>
    <w:pPr>
      <w:adjustRightInd w:val="0"/>
      <w:snapToGrid w:val="0"/>
      <w:jc w:val="center"/>
    </w:pPr>
    <w:rPr>
      <w:rFonts w:ascii="Times New Roman" w:hAnsi="Times New Roman" w:cs="Times New Roman" w:eastAsiaTheme="minorEastAsia"/>
      <w:color w:val="000000"/>
      <w:kern w:val="0"/>
      <w:sz w:val="21"/>
      <w:szCs w:val="21"/>
      <w:lang w:val="en-US" w:eastAsia="zh-CN" w:bidi="ar-SA"/>
    </w:rPr>
  </w:style>
  <w:style w:type="character" w:customStyle="1" w:styleId="69">
    <w:name w:val="正文缩进 字符"/>
    <w:link w:val="12"/>
    <w:qFormat/>
    <w:uiPriority w:val="0"/>
    <w:rPr>
      <w:rFonts w:ascii="宋体" w:hAnsi="宋体" w:eastAsia="宋体"/>
      <w:bCs/>
      <w:color w:val="000000"/>
      <w:kern w:val="0"/>
      <w:sz w:val="24"/>
      <w:szCs w:val="30"/>
    </w:rPr>
  </w:style>
  <w:style w:type="character" w:customStyle="1" w:styleId="70">
    <w:name w:val="文档结构图 字符"/>
    <w:basedOn w:val="37"/>
    <w:link w:val="14"/>
    <w:semiHidden/>
    <w:qFormat/>
    <w:uiPriority w:val="99"/>
    <w:rPr>
      <w:rFonts w:ascii="宋体" w:hAnsi="Times New Roman" w:eastAsia="宋体"/>
      <w:kern w:val="0"/>
      <w:sz w:val="18"/>
      <w:szCs w:val="18"/>
    </w:rPr>
  </w:style>
  <w:style w:type="character" w:customStyle="1" w:styleId="71">
    <w:name w:val="文档结构图 字符1"/>
    <w:basedOn w:val="37"/>
    <w:semiHidden/>
    <w:qFormat/>
    <w:uiPriority w:val="99"/>
    <w:rPr>
      <w:rFonts w:ascii="Microsoft YaHei UI" w:hAnsi="Times New Roman" w:eastAsia="Microsoft YaHei UI"/>
      <w:sz w:val="18"/>
      <w:szCs w:val="18"/>
    </w:rPr>
  </w:style>
  <w:style w:type="character" w:customStyle="1" w:styleId="72">
    <w:name w:val="批注文字 字符"/>
    <w:basedOn w:val="37"/>
    <w:link w:val="15"/>
    <w:semiHidden/>
    <w:qFormat/>
    <w:uiPriority w:val="99"/>
    <w:rPr>
      <w:rFonts w:ascii="Times New Roman" w:hAnsi="Times New Roman" w:eastAsia="宋体"/>
      <w:sz w:val="24"/>
    </w:rPr>
  </w:style>
  <w:style w:type="character" w:customStyle="1" w:styleId="73">
    <w:name w:val="批注文字 字符1"/>
    <w:basedOn w:val="37"/>
    <w:semiHidden/>
    <w:qFormat/>
    <w:uiPriority w:val="99"/>
    <w:rPr>
      <w:rFonts w:ascii="Times New Roman" w:hAnsi="Times New Roman" w:eastAsia="宋体"/>
      <w:sz w:val="28"/>
    </w:rPr>
  </w:style>
  <w:style w:type="character" w:customStyle="1" w:styleId="74">
    <w:name w:val="正文文本 字符"/>
    <w:basedOn w:val="37"/>
    <w:link w:val="16"/>
    <w:qFormat/>
    <w:uiPriority w:val="0"/>
    <w:rPr>
      <w:rFonts w:ascii="Times New Roman" w:hAnsi="Times New Roman" w:eastAsia="宋体" w:cs="Times New Roman"/>
      <w:bCs/>
      <w:kern w:val="0"/>
      <w:sz w:val="24"/>
      <w:szCs w:val="28"/>
    </w:rPr>
  </w:style>
  <w:style w:type="character" w:customStyle="1" w:styleId="75">
    <w:name w:val="正文文本缩进 字符"/>
    <w:basedOn w:val="37"/>
    <w:link w:val="17"/>
    <w:qFormat/>
    <w:uiPriority w:val="0"/>
    <w:rPr>
      <w:rFonts w:ascii="Times New Roman" w:hAnsi="Times New Roman" w:eastAsia="宋体" w:cs="Times New Roman"/>
      <w:bCs/>
      <w:kern w:val="0"/>
      <w:sz w:val="24"/>
      <w:szCs w:val="28"/>
    </w:rPr>
  </w:style>
  <w:style w:type="character" w:customStyle="1" w:styleId="76">
    <w:name w:val="日期 字符"/>
    <w:basedOn w:val="37"/>
    <w:link w:val="22"/>
    <w:semiHidden/>
    <w:qFormat/>
    <w:uiPriority w:val="99"/>
    <w:rPr>
      <w:rFonts w:ascii="Times New Roman" w:hAnsi="Times New Roman" w:eastAsia="宋体"/>
      <w:kern w:val="0"/>
      <w:sz w:val="24"/>
    </w:rPr>
  </w:style>
  <w:style w:type="character" w:customStyle="1" w:styleId="77">
    <w:name w:val="日期 字符1"/>
    <w:basedOn w:val="37"/>
    <w:semiHidden/>
    <w:qFormat/>
    <w:uiPriority w:val="99"/>
    <w:rPr>
      <w:rFonts w:ascii="Times New Roman" w:hAnsi="Times New Roman" w:eastAsia="宋体"/>
      <w:sz w:val="28"/>
    </w:rPr>
  </w:style>
  <w:style w:type="character" w:customStyle="1" w:styleId="78">
    <w:name w:val="正文文本缩进 2 字符"/>
    <w:basedOn w:val="37"/>
    <w:link w:val="23"/>
    <w:qFormat/>
    <w:uiPriority w:val="0"/>
    <w:rPr>
      <w:rFonts w:ascii="Times New Roman" w:hAnsi="Times New Roman" w:eastAsia="宋体"/>
      <w:sz w:val="24"/>
      <w:szCs w:val="24"/>
    </w:rPr>
  </w:style>
  <w:style w:type="character" w:customStyle="1" w:styleId="79">
    <w:name w:val="副标题 字符"/>
    <w:basedOn w:val="37"/>
    <w:link w:val="29"/>
    <w:qFormat/>
    <w:uiPriority w:val="11"/>
    <w:rPr>
      <w:rFonts w:asciiTheme="majorHAnsi" w:hAnsiTheme="majorHAnsi" w:eastAsiaTheme="majorEastAsia" w:cstheme="majorBidi"/>
      <w:i/>
      <w:iCs/>
      <w:color w:val="5B9BD5" w:themeColor="accent1"/>
      <w:spacing w:val="15"/>
      <w:kern w:val="0"/>
      <w:sz w:val="24"/>
      <w:szCs w:val="24"/>
      <w14:textFill>
        <w14:solidFill>
          <w14:schemeClr w14:val="accent1"/>
        </w14:solidFill>
      </w14:textFill>
    </w:rPr>
  </w:style>
  <w:style w:type="character" w:customStyle="1" w:styleId="80">
    <w:name w:val="正文文本缩进 3 字符"/>
    <w:basedOn w:val="37"/>
    <w:link w:val="31"/>
    <w:qFormat/>
    <w:uiPriority w:val="0"/>
    <w:rPr>
      <w:rFonts w:ascii="Times New Roman" w:hAnsi="Times New Roman" w:eastAsia="宋体" w:cs="Times New Roman"/>
      <w:bCs/>
      <w:kern w:val="0"/>
      <w:sz w:val="16"/>
      <w:szCs w:val="16"/>
    </w:rPr>
  </w:style>
  <w:style w:type="character" w:customStyle="1" w:styleId="81">
    <w:name w:val="标题 字符"/>
    <w:basedOn w:val="37"/>
    <w:link w:val="34"/>
    <w:qFormat/>
    <w:uiPriority w:val="10"/>
    <w:rPr>
      <w:rFonts w:asciiTheme="majorHAnsi" w:hAnsiTheme="majorHAnsi" w:eastAsiaTheme="majorEastAsia" w:cstheme="majorBidi"/>
      <w:color w:val="333F50" w:themeColor="text2" w:themeShade="BF"/>
      <w:spacing w:val="5"/>
      <w:kern w:val="28"/>
      <w:sz w:val="52"/>
      <w:szCs w:val="52"/>
    </w:rPr>
  </w:style>
  <w:style w:type="character" w:customStyle="1" w:styleId="82">
    <w:name w:val="批注主题 字符"/>
    <w:basedOn w:val="72"/>
    <w:link w:val="35"/>
    <w:semiHidden/>
    <w:qFormat/>
    <w:uiPriority w:val="99"/>
    <w:rPr>
      <w:rFonts w:ascii="Times New Roman" w:hAnsi="Times New Roman" w:eastAsia="宋体"/>
      <w:b/>
      <w:bCs/>
      <w:sz w:val="24"/>
    </w:rPr>
  </w:style>
  <w:style w:type="character" w:customStyle="1" w:styleId="83">
    <w:name w:val="批注主题 字符1"/>
    <w:basedOn w:val="73"/>
    <w:semiHidden/>
    <w:qFormat/>
    <w:uiPriority w:val="99"/>
    <w:rPr>
      <w:rFonts w:ascii="Times New Roman" w:hAnsi="Times New Roman" w:eastAsia="宋体"/>
      <w:b/>
      <w:bCs/>
      <w:sz w:val="28"/>
    </w:rPr>
  </w:style>
  <w:style w:type="character" w:customStyle="1" w:styleId="84">
    <w:name w:val="页眉 Char1"/>
    <w:basedOn w:val="37"/>
    <w:qFormat/>
    <w:uiPriority w:val="99"/>
    <w:rPr>
      <w:sz w:val="18"/>
      <w:szCs w:val="18"/>
    </w:rPr>
  </w:style>
  <w:style w:type="character" w:customStyle="1" w:styleId="85">
    <w:name w:val="页脚 Char1"/>
    <w:basedOn w:val="37"/>
    <w:qFormat/>
    <w:uiPriority w:val="0"/>
    <w:rPr>
      <w:sz w:val="18"/>
      <w:szCs w:val="18"/>
    </w:rPr>
  </w:style>
  <w:style w:type="paragraph" w:customStyle="1" w:styleId="86">
    <w:name w:val="TOC 标题1"/>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Cs w:val="0"/>
      <w:color w:val="2E75B6" w:themeColor="accent1" w:themeShade="BF"/>
      <w:kern w:val="0"/>
      <w:szCs w:val="32"/>
    </w:rPr>
  </w:style>
  <w:style w:type="paragraph" w:customStyle="1" w:styleId="87">
    <w:name w:val="TOC 标题11"/>
    <w:basedOn w:val="2"/>
    <w:next w:val="1"/>
    <w:unhideWhenUsed/>
    <w:qFormat/>
    <w:uiPriority w:val="39"/>
    <w:pPr>
      <w:widowControl/>
      <w:spacing w:before="480" w:line="276" w:lineRule="auto"/>
      <w:jc w:val="left"/>
      <w:outlineLvl w:val="9"/>
    </w:pPr>
    <w:rPr>
      <w:rFonts w:eastAsia="宋体" w:asciiTheme="majorHAnsi" w:hAnsiTheme="majorHAnsi" w:cstheme="majorBidi"/>
      <w:b/>
      <w:color w:val="2E75B6" w:themeColor="accent1" w:themeShade="BF"/>
      <w:kern w:val="0"/>
      <w:sz w:val="28"/>
      <w:szCs w:val="28"/>
    </w:rPr>
  </w:style>
  <w:style w:type="character" w:customStyle="1" w:styleId="88">
    <w:name w:val="表格1 Char"/>
    <w:link w:val="89"/>
    <w:qFormat/>
    <w:uiPriority w:val="0"/>
    <w:rPr>
      <w:rFonts w:ascii="Times New Roman" w:hAnsi="Times New Roman" w:cs="Times New Roman"/>
      <w:szCs w:val="18"/>
    </w:rPr>
  </w:style>
  <w:style w:type="paragraph" w:customStyle="1" w:styleId="89">
    <w:name w:val="表格1"/>
    <w:basedOn w:val="1"/>
    <w:next w:val="1"/>
    <w:link w:val="88"/>
    <w:qFormat/>
    <w:uiPriority w:val="0"/>
    <w:pPr>
      <w:widowControl/>
      <w:jc w:val="center"/>
      <w:textAlignment w:val="top"/>
    </w:pPr>
    <w:rPr>
      <w:rFonts w:cs="Times New Roman" w:eastAsiaTheme="minorEastAsia"/>
      <w:sz w:val="21"/>
      <w:szCs w:val="18"/>
    </w:rPr>
  </w:style>
  <w:style w:type="paragraph" w:customStyle="1" w:styleId="90">
    <w:name w:val="插图"/>
    <w:basedOn w:val="1"/>
    <w:next w:val="1"/>
    <w:qFormat/>
    <w:uiPriority w:val="0"/>
    <w:pPr>
      <w:widowControl/>
      <w:jc w:val="center"/>
    </w:pPr>
    <w:rPr>
      <w:rFonts w:cs="Times New Roman"/>
      <w:kern w:val="0"/>
      <w:sz w:val="24"/>
      <w:szCs w:val="21"/>
    </w:rPr>
  </w:style>
  <w:style w:type="character" w:customStyle="1" w:styleId="91">
    <w:name w:val="表 Char"/>
    <w:link w:val="92"/>
    <w:qFormat/>
    <w:uiPriority w:val="7"/>
    <w:rPr>
      <w:rFonts w:ascii="Times New Roman" w:hAnsi="Times New Roman"/>
    </w:rPr>
  </w:style>
  <w:style w:type="paragraph" w:customStyle="1" w:styleId="92">
    <w:name w:val="表"/>
    <w:basedOn w:val="1"/>
    <w:next w:val="1"/>
    <w:link w:val="91"/>
    <w:qFormat/>
    <w:uiPriority w:val="7"/>
    <w:pPr>
      <w:widowControl/>
      <w:jc w:val="center"/>
    </w:pPr>
    <w:rPr>
      <w:rFonts w:eastAsiaTheme="minorEastAsia"/>
      <w:sz w:val="21"/>
    </w:rPr>
  </w:style>
  <w:style w:type="paragraph" w:customStyle="1" w:styleId="93">
    <w:name w:val="CM2"/>
    <w:basedOn w:val="67"/>
    <w:next w:val="67"/>
    <w:qFormat/>
    <w:uiPriority w:val="99"/>
    <w:pPr>
      <w:spacing w:after="200" w:line="276" w:lineRule="auto"/>
    </w:pPr>
    <w:rPr>
      <w:rFonts w:asciiTheme="minorHAnsi" w:eastAsiaTheme="minorEastAsia" w:cstheme="minorBidi"/>
      <w:color w:val="auto"/>
    </w:rPr>
  </w:style>
  <w:style w:type="paragraph" w:customStyle="1" w:styleId="94">
    <w:name w:val="CM51"/>
    <w:basedOn w:val="67"/>
    <w:next w:val="67"/>
    <w:qFormat/>
    <w:uiPriority w:val="99"/>
    <w:pPr>
      <w:spacing w:after="203" w:line="276" w:lineRule="auto"/>
    </w:pPr>
    <w:rPr>
      <w:rFonts w:asciiTheme="minorHAnsi" w:eastAsiaTheme="minorEastAsia" w:cstheme="minorBidi"/>
      <w:color w:val="auto"/>
    </w:rPr>
  </w:style>
  <w:style w:type="paragraph" w:customStyle="1" w:styleId="95">
    <w:name w:val="CM47"/>
    <w:basedOn w:val="67"/>
    <w:next w:val="67"/>
    <w:qFormat/>
    <w:uiPriority w:val="99"/>
    <w:pPr>
      <w:spacing w:after="300" w:line="276" w:lineRule="auto"/>
    </w:pPr>
    <w:rPr>
      <w:rFonts w:asciiTheme="minorHAnsi" w:eastAsiaTheme="minorEastAsia" w:cstheme="minorBidi"/>
      <w:color w:val="auto"/>
    </w:rPr>
  </w:style>
  <w:style w:type="paragraph" w:customStyle="1" w:styleId="96">
    <w:name w:val="CM48"/>
    <w:basedOn w:val="67"/>
    <w:next w:val="67"/>
    <w:qFormat/>
    <w:uiPriority w:val="99"/>
    <w:pPr>
      <w:spacing w:after="375" w:line="276" w:lineRule="auto"/>
    </w:pPr>
    <w:rPr>
      <w:rFonts w:asciiTheme="minorHAnsi" w:eastAsiaTheme="minorEastAsia" w:cstheme="minorBidi"/>
      <w:color w:val="auto"/>
    </w:rPr>
  </w:style>
  <w:style w:type="paragraph" w:customStyle="1" w:styleId="97">
    <w:name w:val="CM3"/>
    <w:basedOn w:val="67"/>
    <w:next w:val="67"/>
    <w:qFormat/>
    <w:uiPriority w:val="99"/>
    <w:pPr>
      <w:spacing w:after="200" w:line="626" w:lineRule="atLeast"/>
    </w:pPr>
    <w:rPr>
      <w:rFonts w:asciiTheme="minorHAnsi" w:eastAsiaTheme="minorEastAsia" w:cstheme="minorBidi"/>
      <w:color w:val="auto"/>
    </w:rPr>
  </w:style>
  <w:style w:type="paragraph" w:customStyle="1" w:styleId="98">
    <w:name w:val="CM5"/>
    <w:basedOn w:val="67"/>
    <w:next w:val="67"/>
    <w:qFormat/>
    <w:uiPriority w:val="99"/>
    <w:pPr>
      <w:spacing w:after="200" w:line="626" w:lineRule="atLeast"/>
    </w:pPr>
    <w:rPr>
      <w:rFonts w:asciiTheme="minorHAnsi" w:eastAsiaTheme="minorEastAsia" w:cstheme="minorBidi"/>
      <w:color w:val="auto"/>
    </w:rPr>
  </w:style>
  <w:style w:type="paragraph" w:customStyle="1" w:styleId="99">
    <w:name w:val="CM52"/>
    <w:basedOn w:val="67"/>
    <w:next w:val="67"/>
    <w:qFormat/>
    <w:uiPriority w:val="99"/>
    <w:pPr>
      <w:spacing w:after="455" w:line="276" w:lineRule="auto"/>
    </w:pPr>
    <w:rPr>
      <w:rFonts w:asciiTheme="minorHAnsi" w:eastAsiaTheme="minorEastAsia" w:cstheme="minorBidi"/>
      <w:color w:val="auto"/>
    </w:rPr>
  </w:style>
  <w:style w:type="paragraph" w:customStyle="1" w:styleId="100">
    <w:name w:val="CM53"/>
    <w:basedOn w:val="67"/>
    <w:next w:val="67"/>
    <w:qFormat/>
    <w:uiPriority w:val="99"/>
    <w:pPr>
      <w:spacing w:after="250" w:line="276" w:lineRule="auto"/>
    </w:pPr>
    <w:rPr>
      <w:rFonts w:asciiTheme="minorHAnsi" w:eastAsiaTheme="minorEastAsia" w:cstheme="minorBidi"/>
      <w:color w:val="auto"/>
    </w:rPr>
  </w:style>
  <w:style w:type="paragraph" w:customStyle="1" w:styleId="101">
    <w:name w:val="CM10"/>
    <w:basedOn w:val="67"/>
    <w:next w:val="67"/>
    <w:qFormat/>
    <w:uiPriority w:val="99"/>
    <w:pPr>
      <w:spacing w:after="200" w:line="626" w:lineRule="atLeast"/>
    </w:pPr>
    <w:rPr>
      <w:rFonts w:asciiTheme="minorHAnsi" w:eastAsiaTheme="minorEastAsia" w:cstheme="minorBidi"/>
      <w:color w:val="auto"/>
    </w:rPr>
  </w:style>
  <w:style w:type="paragraph" w:customStyle="1" w:styleId="102">
    <w:name w:val="CM13"/>
    <w:basedOn w:val="67"/>
    <w:next w:val="67"/>
    <w:qFormat/>
    <w:uiPriority w:val="99"/>
    <w:pPr>
      <w:spacing w:after="200" w:line="626" w:lineRule="atLeast"/>
    </w:pPr>
    <w:rPr>
      <w:rFonts w:asciiTheme="minorHAnsi" w:eastAsiaTheme="minorEastAsia" w:cstheme="minorBidi"/>
      <w:color w:val="auto"/>
    </w:rPr>
  </w:style>
  <w:style w:type="paragraph" w:customStyle="1" w:styleId="103">
    <w:name w:val="CM55"/>
    <w:basedOn w:val="67"/>
    <w:next w:val="67"/>
    <w:qFormat/>
    <w:uiPriority w:val="99"/>
    <w:pPr>
      <w:spacing w:after="123" w:line="276" w:lineRule="auto"/>
    </w:pPr>
    <w:rPr>
      <w:rFonts w:asciiTheme="minorHAnsi" w:eastAsiaTheme="minorEastAsia" w:cstheme="minorBidi"/>
      <w:color w:val="auto"/>
    </w:rPr>
  </w:style>
  <w:style w:type="paragraph" w:customStyle="1" w:styleId="104">
    <w:name w:val="CM21"/>
    <w:basedOn w:val="67"/>
    <w:next w:val="67"/>
    <w:qFormat/>
    <w:uiPriority w:val="99"/>
    <w:pPr>
      <w:spacing w:after="200" w:line="276" w:lineRule="auto"/>
    </w:pPr>
    <w:rPr>
      <w:rFonts w:asciiTheme="minorHAnsi" w:eastAsiaTheme="minorEastAsia" w:cstheme="minorBidi"/>
      <w:color w:val="auto"/>
    </w:rPr>
  </w:style>
  <w:style w:type="paragraph" w:customStyle="1" w:styleId="105">
    <w:name w:val="CM1"/>
    <w:basedOn w:val="67"/>
    <w:next w:val="67"/>
    <w:qFormat/>
    <w:uiPriority w:val="99"/>
    <w:pPr>
      <w:spacing w:after="200" w:line="518" w:lineRule="atLeast"/>
    </w:pPr>
    <w:rPr>
      <w:rFonts w:asciiTheme="minorHAnsi" w:eastAsiaTheme="minorEastAsia" w:cstheme="minorBidi"/>
      <w:color w:val="auto"/>
    </w:rPr>
  </w:style>
  <w:style w:type="paragraph" w:customStyle="1" w:styleId="106">
    <w:name w:val="CM49"/>
    <w:basedOn w:val="67"/>
    <w:next w:val="67"/>
    <w:qFormat/>
    <w:uiPriority w:val="99"/>
    <w:pPr>
      <w:spacing w:after="643" w:line="276" w:lineRule="auto"/>
    </w:pPr>
    <w:rPr>
      <w:rFonts w:asciiTheme="minorHAnsi" w:eastAsiaTheme="minorEastAsia" w:cstheme="minorBidi"/>
      <w:color w:val="auto"/>
    </w:rPr>
  </w:style>
  <w:style w:type="paragraph" w:customStyle="1" w:styleId="107">
    <w:name w:val="CM7"/>
    <w:basedOn w:val="67"/>
    <w:next w:val="67"/>
    <w:qFormat/>
    <w:uiPriority w:val="99"/>
    <w:pPr>
      <w:spacing w:after="200" w:line="640" w:lineRule="atLeast"/>
    </w:pPr>
    <w:rPr>
      <w:rFonts w:asciiTheme="minorHAnsi" w:eastAsiaTheme="minorEastAsia" w:cstheme="minorBidi"/>
      <w:color w:val="auto"/>
    </w:rPr>
  </w:style>
  <w:style w:type="paragraph" w:customStyle="1" w:styleId="108">
    <w:name w:val="CM9"/>
    <w:basedOn w:val="67"/>
    <w:next w:val="67"/>
    <w:qFormat/>
    <w:uiPriority w:val="99"/>
    <w:pPr>
      <w:spacing w:after="200" w:line="276" w:lineRule="auto"/>
    </w:pPr>
    <w:rPr>
      <w:rFonts w:asciiTheme="minorHAnsi" w:eastAsiaTheme="minorEastAsia" w:cstheme="minorBidi"/>
      <w:color w:val="auto"/>
    </w:rPr>
  </w:style>
  <w:style w:type="paragraph" w:customStyle="1" w:styleId="109">
    <w:name w:val="CM18"/>
    <w:basedOn w:val="67"/>
    <w:next w:val="67"/>
    <w:qFormat/>
    <w:uiPriority w:val="99"/>
    <w:pPr>
      <w:spacing w:after="200" w:line="276" w:lineRule="auto"/>
    </w:pPr>
    <w:rPr>
      <w:rFonts w:asciiTheme="minorHAnsi" w:eastAsiaTheme="minorEastAsia" w:cstheme="minorBidi"/>
      <w:color w:val="auto"/>
    </w:rPr>
  </w:style>
  <w:style w:type="paragraph" w:customStyle="1" w:styleId="110">
    <w:name w:val="CM19"/>
    <w:basedOn w:val="67"/>
    <w:next w:val="67"/>
    <w:qFormat/>
    <w:uiPriority w:val="99"/>
    <w:pPr>
      <w:spacing w:after="200" w:line="276" w:lineRule="auto"/>
    </w:pPr>
    <w:rPr>
      <w:rFonts w:asciiTheme="minorHAnsi" w:eastAsiaTheme="minorEastAsia" w:cstheme="minorBidi"/>
      <w:color w:val="auto"/>
    </w:rPr>
  </w:style>
  <w:style w:type="paragraph" w:customStyle="1" w:styleId="111">
    <w:name w:val="CM20"/>
    <w:basedOn w:val="67"/>
    <w:next w:val="67"/>
    <w:qFormat/>
    <w:uiPriority w:val="99"/>
    <w:pPr>
      <w:spacing w:after="200" w:line="276" w:lineRule="auto"/>
    </w:pPr>
    <w:rPr>
      <w:rFonts w:asciiTheme="minorHAnsi" w:eastAsiaTheme="minorEastAsia" w:cstheme="minorBidi"/>
      <w:color w:val="auto"/>
    </w:rPr>
  </w:style>
  <w:style w:type="paragraph" w:customStyle="1" w:styleId="112">
    <w:name w:val="CM22"/>
    <w:basedOn w:val="67"/>
    <w:next w:val="67"/>
    <w:qFormat/>
    <w:uiPriority w:val="99"/>
    <w:pPr>
      <w:spacing w:after="200" w:line="626" w:lineRule="atLeast"/>
    </w:pPr>
    <w:rPr>
      <w:rFonts w:asciiTheme="minorHAnsi" w:eastAsiaTheme="minorEastAsia" w:cstheme="minorBidi"/>
      <w:color w:val="auto"/>
    </w:rPr>
  </w:style>
  <w:style w:type="paragraph" w:customStyle="1" w:styleId="113">
    <w:name w:val="CM56"/>
    <w:basedOn w:val="67"/>
    <w:next w:val="67"/>
    <w:qFormat/>
    <w:uiPriority w:val="99"/>
    <w:pPr>
      <w:spacing w:after="197" w:line="276" w:lineRule="auto"/>
    </w:pPr>
    <w:rPr>
      <w:rFonts w:asciiTheme="minorHAnsi" w:eastAsiaTheme="minorEastAsia" w:cstheme="minorBidi"/>
      <w:color w:val="auto"/>
    </w:rPr>
  </w:style>
  <w:style w:type="paragraph" w:customStyle="1" w:styleId="114">
    <w:name w:val="CM23"/>
    <w:basedOn w:val="67"/>
    <w:next w:val="67"/>
    <w:qFormat/>
    <w:uiPriority w:val="99"/>
    <w:pPr>
      <w:spacing w:after="200" w:line="276" w:lineRule="auto"/>
    </w:pPr>
    <w:rPr>
      <w:rFonts w:asciiTheme="minorHAnsi" w:eastAsiaTheme="minorEastAsia" w:cstheme="minorBidi"/>
      <w:color w:val="auto"/>
    </w:rPr>
  </w:style>
  <w:style w:type="paragraph" w:customStyle="1" w:styleId="115">
    <w:name w:val="CM4"/>
    <w:basedOn w:val="67"/>
    <w:next w:val="67"/>
    <w:qFormat/>
    <w:uiPriority w:val="99"/>
    <w:pPr>
      <w:spacing w:after="200" w:line="626" w:lineRule="atLeast"/>
    </w:pPr>
    <w:rPr>
      <w:rFonts w:asciiTheme="minorHAnsi" w:eastAsiaTheme="minorEastAsia" w:cstheme="minorBidi"/>
      <w:color w:val="auto"/>
    </w:rPr>
  </w:style>
  <w:style w:type="paragraph" w:customStyle="1" w:styleId="116">
    <w:name w:val="CM24"/>
    <w:basedOn w:val="67"/>
    <w:next w:val="67"/>
    <w:qFormat/>
    <w:uiPriority w:val="99"/>
    <w:pPr>
      <w:spacing w:after="200" w:line="546" w:lineRule="atLeast"/>
    </w:pPr>
    <w:rPr>
      <w:rFonts w:asciiTheme="minorHAnsi" w:eastAsiaTheme="minorEastAsia" w:cstheme="minorBidi"/>
      <w:color w:val="auto"/>
    </w:rPr>
  </w:style>
  <w:style w:type="paragraph" w:customStyle="1" w:styleId="117">
    <w:name w:val="CM25"/>
    <w:basedOn w:val="67"/>
    <w:next w:val="67"/>
    <w:qFormat/>
    <w:uiPriority w:val="99"/>
    <w:pPr>
      <w:spacing w:after="200" w:line="546" w:lineRule="atLeast"/>
    </w:pPr>
    <w:rPr>
      <w:rFonts w:asciiTheme="minorHAnsi" w:eastAsiaTheme="minorEastAsia" w:cstheme="minorBidi"/>
      <w:color w:val="auto"/>
    </w:rPr>
  </w:style>
  <w:style w:type="paragraph" w:customStyle="1" w:styleId="118">
    <w:name w:val="CM26"/>
    <w:basedOn w:val="67"/>
    <w:next w:val="67"/>
    <w:qFormat/>
    <w:uiPriority w:val="99"/>
    <w:pPr>
      <w:spacing w:after="200" w:line="546" w:lineRule="atLeast"/>
    </w:pPr>
    <w:rPr>
      <w:rFonts w:asciiTheme="minorHAnsi" w:eastAsiaTheme="minorEastAsia" w:cstheme="minorBidi"/>
      <w:color w:val="auto"/>
    </w:rPr>
  </w:style>
  <w:style w:type="paragraph" w:customStyle="1" w:styleId="119">
    <w:name w:val="CM27"/>
    <w:basedOn w:val="67"/>
    <w:next w:val="67"/>
    <w:qFormat/>
    <w:uiPriority w:val="99"/>
    <w:pPr>
      <w:spacing w:after="200" w:line="546" w:lineRule="atLeast"/>
    </w:pPr>
    <w:rPr>
      <w:rFonts w:asciiTheme="minorHAnsi" w:eastAsiaTheme="minorEastAsia" w:cstheme="minorBidi"/>
      <w:color w:val="auto"/>
    </w:rPr>
  </w:style>
  <w:style w:type="paragraph" w:customStyle="1" w:styleId="120">
    <w:name w:val="CM28"/>
    <w:basedOn w:val="67"/>
    <w:next w:val="67"/>
    <w:qFormat/>
    <w:uiPriority w:val="99"/>
    <w:pPr>
      <w:spacing w:after="200" w:line="546" w:lineRule="atLeast"/>
    </w:pPr>
    <w:rPr>
      <w:rFonts w:asciiTheme="minorHAnsi" w:eastAsiaTheme="minorEastAsia" w:cstheme="minorBidi"/>
      <w:color w:val="auto"/>
    </w:rPr>
  </w:style>
  <w:style w:type="paragraph" w:customStyle="1" w:styleId="121">
    <w:name w:val="CM29"/>
    <w:basedOn w:val="67"/>
    <w:next w:val="67"/>
    <w:qFormat/>
    <w:uiPriority w:val="99"/>
    <w:pPr>
      <w:spacing w:after="200" w:line="546" w:lineRule="atLeast"/>
    </w:pPr>
    <w:rPr>
      <w:rFonts w:asciiTheme="minorHAnsi" w:eastAsiaTheme="minorEastAsia" w:cstheme="minorBidi"/>
      <w:color w:val="auto"/>
    </w:rPr>
  </w:style>
  <w:style w:type="paragraph" w:customStyle="1" w:styleId="122">
    <w:name w:val="CM31"/>
    <w:basedOn w:val="67"/>
    <w:next w:val="67"/>
    <w:qFormat/>
    <w:uiPriority w:val="99"/>
    <w:pPr>
      <w:spacing w:after="200" w:line="546" w:lineRule="atLeast"/>
    </w:pPr>
    <w:rPr>
      <w:rFonts w:asciiTheme="minorHAnsi" w:eastAsiaTheme="minorEastAsia" w:cstheme="minorBidi"/>
      <w:color w:val="auto"/>
    </w:rPr>
  </w:style>
  <w:style w:type="paragraph" w:customStyle="1" w:styleId="123">
    <w:name w:val="CM30"/>
    <w:basedOn w:val="67"/>
    <w:next w:val="67"/>
    <w:qFormat/>
    <w:uiPriority w:val="99"/>
    <w:pPr>
      <w:spacing w:after="200" w:line="546" w:lineRule="atLeast"/>
    </w:pPr>
    <w:rPr>
      <w:rFonts w:asciiTheme="minorHAnsi" w:eastAsiaTheme="minorEastAsia" w:cstheme="minorBidi"/>
      <w:color w:val="auto"/>
    </w:rPr>
  </w:style>
  <w:style w:type="paragraph" w:customStyle="1" w:styleId="124">
    <w:name w:val="CM33"/>
    <w:basedOn w:val="67"/>
    <w:next w:val="67"/>
    <w:qFormat/>
    <w:uiPriority w:val="99"/>
    <w:pPr>
      <w:spacing w:after="200" w:line="546" w:lineRule="atLeast"/>
    </w:pPr>
    <w:rPr>
      <w:rFonts w:asciiTheme="minorHAnsi" w:eastAsiaTheme="minorEastAsia" w:cstheme="minorBidi"/>
      <w:color w:val="auto"/>
    </w:rPr>
  </w:style>
  <w:style w:type="paragraph" w:customStyle="1" w:styleId="125">
    <w:name w:val="CM32"/>
    <w:basedOn w:val="67"/>
    <w:next w:val="67"/>
    <w:qFormat/>
    <w:uiPriority w:val="99"/>
    <w:pPr>
      <w:spacing w:after="200" w:line="276" w:lineRule="auto"/>
    </w:pPr>
    <w:rPr>
      <w:rFonts w:asciiTheme="minorHAnsi" w:eastAsiaTheme="minorEastAsia" w:cstheme="minorBidi"/>
      <w:color w:val="auto"/>
    </w:rPr>
  </w:style>
  <w:style w:type="paragraph" w:customStyle="1" w:styleId="126">
    <w:name w:val="CM60"/>
    <w:basedOn w:val="67"/>
    <w:next w:val="67"/>
    <w:qFormat/>
    <w:uiPriority w:val="99"/>
    <w:pPr>
      <w:spacing w:after="60" w:line="276" w:lineRule="auto"/>
    </w:pPr>
    <w:rPr>
      <w:rFonts w:asciiTheme="minorHAnsi" w:eastAsiaTheme="minorEastAsia" w:cstheme="minorBidi"/>
      <w:color w:val="auto"/>
    </w:rPr>
  </w:style>
  <w:style w:type="paragraph" w:customStyle="1" w:styleId="127">
    <w:name w:val="CM38"/>
    <w:basedOn w:val="67"/>
    <w:next w:val="67"/>
    <w:qFormat/>
    <w:uiPriority w:val="99"/>
    <w:pPr>
      <w:spacing w:after="200" w:line="546" w:lineRule="atLeast"/>
    </w:pPr>
    <w:rPr>
      <w:rFonts w:asciiTheme="minorHAnsi" w:eastAsiaTheme="minorEastAsia" w:cstheme="minorBidi"/>
      <w:color w:val="auto"/>
    </w:rPr>
  </w:style>
  <w:style w:type="paragraph" w:customStyle="1" w:styleId="128">
    <w:name w:val="CM39"/>
    <w:basedOn w:val="67"/>
    <w:next w:val="67"/>
    <w:qFormat/>
    <w:uiPriority w:val="99"/>
    <w:pPr>
      <w:spacing w:after="200" w:line="546" w:lineRule="atLeast"/>
    </w:pPr>
    <w:rPr>
      <w:rFonts w:asciiTheme="minorHAnsi" w:eastAsiaTheme="minorEastAsia" w:cstheme="minorBidi"/>
      <w:color w:val="auto"/>
    </w:rPr>
  </w:style>
  <w:style w:type="paragraph" w:customStyle="1" w:styleId="129">
    <w:name w:val="CM41"/>
    <w:basedOn w:val="67"/>
    <w:next w:val="67"/>
    <w:qFormat/>
    <w:uiPriority w:val="99"/>
    <w:pPr>
      <w:spacing w:after="200" w:line="546" w:lineRule="atLeast"/>
    </w:pPr>
    <w:rPr>
      <w:rFonts w:asciiTheme="minorHAnsi" w:eastAsiaTheme="minorEastAsia" w:cstheme="minorBidi"/>
      <w:color w:val="auto"/>
    </w:rPr>
  </w:style>
  <w:style w:type="paragraph" w:customStyle="1" w:styleId="130">
    <w:name w:val="CM42"/>
    <w:basedOn w:val="67"/>
    <w:next w:val="67"/>
    <w:qFormat/>
    <w:uiPriority w:val="99"/>
    <w:pPr>
      <w:spacing w:after="200" w:line="546" w:lineRule="atLeast"/>
    </w:pPr>
    <w:rPr>
      <w:rFonts w:asciiTheme="minorHAnsi" w:eastAsiaTheme="minorEastAsia" w:cstheme="minorBidi"/>
      <w:color w:val="auto"/>
    </w:rPr>
  </w:style>
  <w:style w:type="paragraph" w:customStyle="1" w:styleId="131">
    <w:name w:val="CM43"/>
    <w:basedOn w:val="67"/>
    <w:next w:val="67"/>
    <w:qFormat/>
    <w:uiPriority w:val="99"/>
    <w:pPr>
      <w:spacing w:after="200" w:line="546" w:lineRule="atLeast"/>
    </w:pPr>
    <w:rPr>
      <w:rFonts w:asciiTheme="minorHAnsi" w:eastAsiaTheme="minorEastAsia" w:cstheme="minorBidi"/>
      <w:color w:val="auto"/>
    </w:rPr>
  </w:style>
  <w:style w:type="paragraph" w:customStyle="1" w:styleId="132">
    <w:name w:val="CM44"/>
    <w:basedOn w:val="67"/>
    <w:next w:val="67"/>
    <w:qFormat/>
    <w:uiPriority w:val="99"/>
    <w:pPr>
      <w:spacing w:after="200" w:line="546" w:lineRule="atLeast"/>
    </w:pPr>
    <w:rPr>
      <w:rFonts w:asciiTheme="minorHAnsi" w:eastAsiaTheme="minorEastAsia" w:cstheme="minorBidi"/>
      <w:color w:val="auto"/>
    </w:rPr>
  </w:style>
  <w:style w:type="paragraph" w:customStyle="1" w:styleId="133">
    <w:name w:val="CM45"/>
    <w:basedOn w:val="67"/>
    <w:next w:val="67"/>
    <w:qFormat/>
    <w:uiPriority w:val="99"/>
    <w:pPr>
      <w:spacing w:after="200" w:line="546" w:lineRule="atLeast"/>
    </w:pPr>
    <w:rPr>
      <w:rFonts w:asciiTheme="minorHAnsi" w:eastAsiaTheme="minorEastAsia" w:cstheme="minorBidi"/>
      <w:color w:val="auto"/>
    </w:rPr>
  </w:style>
  <w:style w:type="paragraph" w:customStyle="1" w:styleId="134">
    <w:name w:val="CM37"/>
    <w:basedOn w:val="67"/>
    <w:next w:val="67"/>
    <w:qFormat/>
    <w:uiPriority w:val="99"/>
    <w:pPr>
      <w:spacing w:after="200" w:line="546" w:lineRule="atLeast"/>
    </w:pPr>
    <w:rPr>
      <w:rFonts w:asciiTheme="minorHAnsi" w:eastAsiaTheme="minorEastAsia" w:cstheme="minorBidi"/>
      <w:color w:val="auto"/>
    </w:rPr>
  </w:style>
  <w:style w:type="paragraph" w:customStyle="1" w:styleId="135">
    <w:name w:val="CM46"/>
    <w:basedOn w:val="67"/>
    <w:next w:val="67"/>
    <w:qFormat/>
    <w:uiPriority w:val="99"/>
    <w:pPr>
      <w:spacing w:after="200" w:line="546" w:lineRule="atLeast"/>
    </w:pPr>
    <w:rPr>
      <w:rFonts w:asciiTheme="minorHAnsi" w:eastAsiaTheme="minorEastAsia" w:cstheme="minorBidi"/>
      <w:color w:val="auto"/>
    </w:rPr>
  </w:style>
  <w:style w:type="paragraph" w:customStyle="1" w:styleId="136">
    <w:name w:val="CM59"/>
    <w:basedOn w:val="67"/>
    <w:next w:val="67"/>
    <w:qFormat/>
    <w:uiPriority w:val="99"/>
    <w:pPr>
      <w:spacing w:after="725" w:line="276" w:lineRule="auto"/>
    </w:pPr>
    <w:rPr>
      <w:rFonts w:asciiTheme="minorHAnsi" w:eastAsiaTheme="minorEastAsia" w:cstheme="minorBidi"/>
      <w:color w:val="auto"/>
    </w:rPr>
  </w:style>
  <w:style w:type="character" w:customStyle="1" w:styleId="137">
    <w:name w:val="样式6 Char Char"/>
    <w:link w:val="138"/>
    <w:qFormat/>
    <w:uiPriority w:val="0"/>
    <w:rPr>
      <w:rFonts w:ascii="Times New Roman" w:hAnsi="Times New Roman"/>
    </w:rPr>
  </w:style>
  <w:style w:type="paragraph" w:customStyle="1" w:styleId="138">
    <w:name w:val="样式6"/>
    <w:basedOn w:val="1"/>
    <w:link w:val="137"/>
    <w:qFormat/>
    <w:uiPriority w:val="0"/>
    <w:pPr>
      <w:widowControl/>
      <w:ind w:firstLine="1040"/>
    </w:pPr>
    <w:rPr>
      <w:rFonts w:eastAsiaTheme="minorEastAsia"/>
      <w:sz w:val="21"/>
    </w:rPr>
  </w:style>
  <w:style w:type="paragraph" w:customStyle="1" w:styleId="139">
    <w:name w:val="font5"/>
    <w:basedOn w:val="1"/>
    <w:qFormat/>
    <w:uiPriority w:val="0"/>
    <w:pPr>
      <w:widowControl/>
      <w:spacing w:before="100" w:beforeAutospacing="1" w:after="100" w:afterAutospacing="1"/>
      <w:ind w:firstLine="0" w:firstLineChars="0"/>
      <w:jc w:val="left"/>
    </w:pPr>
    <w:rPr>
      <w:rFonts w:ascii="宋体" w:hAnsi="宋体" w:cs="宋体"/>
      <w:kern w:val="0"/>
      <w:sz w:val="18"/>
      <w:szCs w:val="18"/>
    </w:rPr>
  </w:style>
  <w:style w:type="paragraph" w:customStyle="1" w:styleId="140">
    <w:name w:val="xl66"/>
    <w:basedOn w:val="1"/>
    <w:qFormat/>
    <w:uiPriority w:val="0"/>
    <w:pPr>
      <w:widowControl/>
      <w:spacing w:before="100" w:beforeAutospacing="1" w:after="100" w:afterAutospacing="1"/>
      <w:ind w:firstLine="0" w:firstLineChars="0"/>
      <w:jc w:val="center"/>
      <w:textAlignment w:val="center"/>
    </w:pPr>
    <w:rPr>
      <w:rFonts w:ascii="宋体" w:hAnsi="宋体" w:cs="宋体"/>
      <w:kern w:val="0"/>
      <w:sz w:val="24"/>
      <w:szCs w:val="24"/>
    </w:rPr>
  </w:style>
  <w:style w:type="paragraph" w:customStyle="1" w:styleId="141">
    <w:name w:val="xl67"/>
    <w:basedOn w:val="1"/>
    <w:qFormat/>
    <w:uiPriority w:val="0"/>
    <w:pPr>
      <w:widowControl/>
      <w:spacing w:before="100" w:beforeAutospacing="1" w:after="100" w:afterAutospacing="1"/>
      <w:ind w:firstLine="0" w:firstLineChars="0"/>
      <w:jc w:val="center"/>
      <w:textAlignment w:val="center"/>
    </w:pPr>
    <w:rPr>
      <w:rFonts w:ascii="宋体" w:hAnsi="宋体" w:cs="宋体"/>
      <w:kern w:val="0"/>
      <w:sz w:val="24"/>
      <w:szCs w:val="24"/>
    </w:rPr>
  </w:style>
  <w:style w:type="paragraph" w:customStyle="1" w:styleId="142">
    <w:name w:val="xl68"/>
    <w:basedOn w:val="1"/>
    <w:qFormat/>
    <w:uiPriority w:val="0"/>
    <w:pPr>
      <w:widowControl/>
      <w:spacing w:before="100" w:beforeAutospacing="1" w:after="100" w:afterAutospacing="1"/>
      <w:ind w:firstLine="0" w:firstLineChars="0"/>
      <w:jc w:val="center"/>
      <w:textAlignment w:val="center"/>
    </w:pPr>
    <w:rPr>
      <w:rFonts w:ascii="宋体" w:hAnsi="宋体" w:cs="宋体"/>
      <w:kern w:val="0"/>
      <w:sz w:val="24"/>
      <w:szCs w:val="24"/>
    </w:rPr>
  </w:style>
  <w:style w:type="paragraph" w:customStyle="1" w:styleId="143">
    <w:name w:val="xl65"/>
    <w:basedOn w:val="1"/>
    <w:qFormat/>
    <w:uiPriority w:val="0"/>
    <w:pPr>
      <w:widowControl/>
      <w:spacing w:before="100" w:beforeAutospacing="1" w:after="100" w:afterAutospacing="1"/>
      <w:ind w:firstLine="0" w:firstLineChars="0"/>
      <w:jc w:val="center"/>
      <w:textAlignment w:val="center"/>
    </w:pPr>
    <w:rPr>
      <w:rFonts w:ascii="宋体" w:hAnsi="宋体" w:cs="宋体"/>
      <w:kern w:val="0"/>
      <w:sz w:val="24"/>
      <w:szCs w:val="24"/>
    </w:rPr>
  </w:style>
  <w:style w:type="paragraph" w:customStyle="1" w:styleId="144">
    <w:name w:val="0样式18 正文"/>
    <w:basedOn w:val="1"/>
    <w:qFormat/>
    <w:uiPriority w:val="0"/>
    <w:pPr>
      <w:widowControl/>
      <w:spacing w:line="336" w:lineRule="auto"/>
    </w:pPr>
    <w:rPr>
      <w:rFonts w:ascii="宋体" w:hAnsi="宋体" w:cs="Times New Roman"/>
      <w:kern w:val="0"/>
      <w:sz w:val="24"/>
      <w:szCs w:val="24"/>
    </w:rPr>
  </w:style>
  <w:style w:type="paragraph" w:customStyle="1" w:styleId="145">
    <w:name w:val="TOC 标题2"/>
    <w:basedOn w:val="2"/>
    <w:next w:val="1"/>
    <w:unhideWhenUsed/>
    <w:qFormat/>
    <w:uiPriority w:val="39"/>
    <w:pPr>
      <w:widowControl/>
      <w:spacing w:before="240" w:line="259" w:lineRule="auto"/>
      <w:jc w:val="left"/>
      <w:outlineLvl w:val="9"/>
    </w:pPr>
    <w:rPr>
      <w:rFonts w:eastAsia="宋体" w:asciiTheme="majorHAnsi" w:hAnsiTheme="majorHAnsi" w:cstheme="majorBidi"/>
      <w:bCs w:val="0"/>
      <w:color w:val="2E75B6" w:themeColor="accent1" w:themeShade="BF"/>
      <w:kern w:val="0"/>
      <w:szCs w:val="32"/>
    </w:rPr>
  </w:style>
  <w:style w:type="paragraph" w:customStyle="1" w:styleId="146">
    <w:name w:val="0样式18 表头"/>
    <w:basedOn w:val="144"/>
    <w:qFormat/>
    <w:uiPriority w:val="0"/>
    <w:pPr>
      <w:spacing w:line="288" w:lineRule="auto"/>
      <w:ind w:firstLine="0" w:firstLineChars="0"/>
    </w:pPr>
    <w:rPr>
      <w:rFonts w:ascii="黑体" w:hAnsi="黑体" w:eastAsia="黑体"/>
      <w:sz w:val="21"/>
      <w:szCs w:val="21"/>
    </w:rPr>
  </w:style>
  <w:style w:type="paragraph" w:customStyle="1" w:styleId="147">
    <w:name w:val="TOC 标题3"/>
    <w:basedOn w:val="2"/>
    <w:next w:val="1"/>
    <w:unhideWhenUsed/>
    <w:qFormat/>
    <w:uiPriority w:val="39"/>
    <w:pPr>
      <w:widowControl/>
      <w:outlineLvl w:val="9"/>
    </w:pPr>
    <w:rPr>
      <w:rFonts w:eastAsia="宋体" w:cstheme="majorBidi"/>
      <w:b/>
      <w:kern w:val="0"/>
      <w:szCs w:val="28"/>
    </w:rPr>
  </w:style>
  <w:style w:type="paragraph" w:styleId="148">
    <w:name w:val="Quote"/>
    <w:basedOn w:val="1"/>
    <w:next w:val="1"/>
    <w:link w:val="149"/>
    <w:qFormat/>
    <w:uiPriority w:val="29"/>
    <w:pPr>
      <w:widowControl/>
    </w:pPr>
    <w:rPr>
      <w:i/>
      <w:iCs/>
      <w:color w:val="000000" w:themeColor="text1"/>
      <w:kern w:val="0"/>
      <w:sz w:val="24"/>
      <w14:textFill>
        <w14:solidFill>
          <w14:schemeClr w14:val="tx1"/>
        </w14:solidFill>
      </w14:textFill>
    </w:rPr>
  </w:style>
  <w:style w:type="character" w:customStyle="1" w:styleId="149">
    <w:name w:val="引用 字符"/>
    <w:basedOn w:val="37"/>
    <w:link w:val="148"/>
    <w:qFormat/>
    <w:uiPriority w:val="29"/>
    <w:rPr>
      <w:rFonts w:ascii="Times New Roman" w:hAnsi="Times New Roman" w:eastAsia="宋体"/>
      <w:i/>
      <w:iCs/>
      <w:color w:val="000000" w:themeColor="text1"/>
      <w:kern w:val="0"/>
      <w:sz w:val="24"/>
      <w14:textFill>
        <w14:solidFill>
          <w14:schemeClr w14:val="tx1"/>
        </w14:solidFill>
      </w14:textFill>
    </w:rPr>
  </w:style>
  <w:style w:type="paragraph" w:styleId="150">
    <w:name w:val="Intense Quote"/>
    <w:basedOn w:val="1"/>
    <w:next w:val="1"/>
    <w:link w:val="151"/>
    <w:qFormat/>
    <w:uiPriority w:val="30"/>
    <w:pPr>
      <w:widowControl/>
      <w:pBdr>
        <w:bottom w:val="single" w:color="5B9BD5" w:themeColor="accent1" w:sz="4" w:space="4"/>
      </w:pBdr>
      <w:spacing w:before="200" w:after="280"/>
      <w:ind w:left="936" w:right="936"/>
    </w:pPr>
    <w:rPr>
      <w:b/>
      <w:bCs/>
      <w:i/>
      <w:iCs/>
      <w:color w:val="5B9BD5" w:themeColor="accent1"/>
      <w:kern w:val="0"/>
      <w:sz w:val="24"/>
      <w14:textFill>
        <w14:solidFill>
          <w14:schemeClr w14:val="accent1"/>
        </w14:solidFill>
      </w14:textFill>
    </w:rPr>
  </w:style>
  <w:style w:type="character" w:customStyle="1" w:styleId="151">
    <w:name w:val="明显引用 字符"/>
    <w:basedOn w:val="37"/>
    <w:link w:val="150"/>
    <w:qFormat/>
    <w:uiPriority w:val="30"/>
    <w:rPr>
      <w:rFonts w:ascii="Times New Roman" w:hAnsi="Times New Roman" w:eastAsia="宋体"/>
      <w:b/>
      <w:bCs/>
      <w:i/>
      <w:iCs/>
      <w:color w:val="5B9BD5" w:themeColor="accent1"/>
      <w:kern w:val="0"/>
      <w:sz w:val="24"/>
      <w14:textFill>
        <w14:solidFill>
          <w14:schemeClr w14:val="accent1"/>
        </w14:solidFill>
      </w14:textFill>
    </w:rPr>
  </w:style>
  <w:style w:type="character" w:customStyle="1" w:styleId="152">
    <w:name w:val="不明显强调1"/>
    <w:basedOn w:val="37"/>
    <w:qFormat/>
    <w:uiPriority w:val="19"/>
    <w:rPr>
      <w:i/>
      <w:iCs/>
      <w:color w:val="808080" w:themeColor="text1" w:themeTint="80"/>
      <w14:textFill>
        <w14:solidFill>
          <w14:schemeClr w14:val="tx1">
            <w14:lumMod w14:val="50000"/>
            <w14:lumOff w14:val="50000"/>
          </w14:schemeClr>
        </w14:solidFill>
      </w14:textFill>
    </w:rPr>
  </w:style>
  <w:style w:type="character" w:customStyle="1" w:styleId="153">
    <w:name w:val="明显强调1"/>
    <w:basedOn w:val="37"/>
    <w:qFormat/>
    <w:uiPriority w:val="21"/>
    <w:rPr>
      <w:b/>
      <w:bCs/>
      <w:i/>
      <w:iCs/>
      <w:color w:val="5B9BD5" w:themeColor="accent1"/>
      <w14:textFill>
        <w14:solidFill>
          <w14:schemeClr w14:val="accent1"/>
        </w14:solidFill>
      </w14:textFill>
    </w:rPr>
  </w:style>
  <w:style w:type="character" w:customStyle="1" w:styleId="154">
    <w:name w:val="不明显参考1"/>
    <w:basedOn w:val="37"/>
    <w:qFormat/>
    <w:uiPriority w:val="31"/>
    <w:rPr>
      <w:smallCaps/>
      <w:color w:val="ED7D31" w:themeColor="accent2"/>
      <w:u w:val="single"/>
      <w14:textFill>
        <w14:solidFill>
          <w14:schemeClr w14:val="accent2"/>
        </w14:solidFill>
      </w14:textFill>
    </w:rPr>
  </w:style>
  <w:style w:type="character" w:customStyle="1" w:styleId="155">
    <w:name w:val="明显参考1"/>
    <w:basedOn w:val="37"/>
    <w:qFormat/>
    <w:uiPriority w:val="32"/>
    <w:rPr>
      <w:b/>
      <w:bCs/>
      <w:smallCaps/>
      <w:color w:val="ED7D31" w:themeColor="accent2"/>
      <w:spacing w:val="5"/>
      <w:u w:val="single"/>
      <w14:textFill>
        <w14:solidFill>
          <w14:schemeClr w14:val="accent2"/>
        </w14:solidFill>
      </w14:textFill>
    </w:rPr>
  </w:style>
  <w:style w:type="character" w:customStyle="1" w:styleId="156">
    <w:name w:val="书籍标题1"/>
    <w:basedOn w:val="37"/>
    <w:qFormat/>
    <w:uiPriority w:val="33"/>
    <w:rPr>
      <w:b/>
      <w:bCs/>
      <w:smallCaps/>
      <w:spacing w:val="5"/>
    </w:rPr>
  </w:style>
  <w:style w:type="character" w:customStyle="1" w:styleId="157">
    <w:name w:val="font51"/>
    <w:basedOn w:val="37"/>
    <w:qFormat/>
    <w:uiPriority w:val="0"/>
    <w:rPr>
      <w:rFonts w:hint="eastAsia" w:ascii="宋体" w:hAnsi="宋体" w:eastAsia="宋体" w:cs="宋体"/>
      <w:b/>
      <w:color w:val="000000"/>
      <w:sz w:val="21"/>
      <w:szCs w:val="21"/>
      <w:u w:val="none"/>
    </w:rPr>
  </w:style>
  <w:style w:type="character" w:customStyle="1" w:styleId="158">
    <w:name w:val="font11"/>
    <w:basedOn w:val="37"/>
    <w:qFormat/>
    <w:uiPriority w:val="0"/>
    <w:rPr>
      <w:rFonts w:hint="eastAsia" w:ascii="宋体" w:hAnsi="宋体" w:eastAsia="宋体" w:cs="宋体"/>
      <w:color w:val="000000"/>
      <w:sz w:val="22"/>
      <w:szCs w:val="22"/>
      <w:u w:val="none"/>
    </w:rPr>
  </w:style>
  <w:style w:type="character" w:customStyle="1" w:styleId="159">
    <w:name w:val="font01"/>
    <w:basedOn w:val="37"/>
    <w:qFormat/>
    <w:uiPriority w:val="0"/>
    <w:rPr>
      <w:rFonts w:hint="default" w:ascii="Times New Roman" w:hAnsi="Times New Roman" w:cs="Times New Roman"/>
      <w:color w:val="000000"/>
      <w:sz w:val="22"/>
      <w:szCs w:val="22"/>
      <w:u w:val="none"/>
    </w:rPr>
  </w:style>
  <w:style w:type="character" w:customStyle="1" w:styleId="160">
    <w:name w:val="font21"/>
    <w:basedOn w:val="37"/>
    <w:qFormat/>
    <w:uiPriority w:val="0"/>
    <w:rPr>
      <w:rFonts w:hint="eastAsia" w:ascii="宋体" w:hAnsi="宋体" w:eastAsia="宋体" w:cs="宋体"/>
      <w:color w:val="000000"/>
      <w:sz w:val="24"/>
      <w:szCs w:val="24"/>
      <w:u w:val="none"/>
    </w:rPr>
  </w:style>
  <w:style w:type="character" w:customStyle="1" w:styleId="161">
    <w:name w:val="font31"/>
    <w:basedOn w:val="37"/>
    <w:qFormat/>
    <w:uiPriority w:val="0"/>
    <w:rPr>
      <w:rFonts w:hint="default" w:ascii="Times New Roman" w:hAnsi="Times New Roman" w:cs="Times New Roman"/>
      <w:color w:val="000000"/>
      <w:sz w:val="24"/>
      <w:szCs w:val="24"/>
      <w:u w:val="none"/>
    </w:rPr>
  </w:style>
  <w:style w:type="character" w:customStyle="1" w:styleId="162">
    <w:name w:val="font41"/>
    <w:basedOn w:val="37"/>
    <w:qFormat/>
    <w:uiPriority w:val="0"/>
    <w:rPr>
      <w:rFonts w:hint="eastAsia" w:ascii="宋体" w:hAnsi="宋体" w:eastAsia="宋体" w:cs="宋体"/>
      <w:color w:val="000000"/>
      <w:sz w:val="24"/>
      <w:szCs w:val="24"/>
      <w:u w:val="none"/>
    </w:rPr>
  </w:style>
  <w:style w:type="paragraph" w:customStyle="1" w:styleId="163">
    <w:name w:val="TOC 标题4"/>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Cs w:val="0"/>
      <w:color w:val="2E75B6" w:themeColor="accent1" w:themeShade="BF"/>
      <w:kern w:val="0"/>
      <w:szCs w:val="32"/>
    </w:rPr>
  </w:style>
  <w:style w:type="character" w:customStyle="1" w:styleId="164">
    <w:name w:val="font71"/>
    <w:basedOn w:val="37"/>
    <w:qFormat/>
    <w:uiPriority w:val="0"/>
    <w:rPr>
      <w:rFonts w:hint="eastAsia" w:ascii="宋体" w:hAnsi="宋体" w:eastAsia="宋体" w:cs="宋体"/>
      <w:b/>
      <w:color w:val="000000"/>
      <w:sz w:val="20"/>
      <w:szCs w:val="20"/>
      <w:u w:val="none"/>
    </w:rPr>
  </w:style>
  <w:style w:type="character" w:customStyle="1" w:styleId="165">
    <w:name w:val="font101"/>
    <w:basedOn w:val="37"/>
    <w:qFormat/>
    <w:uiPriority w:val="0"/>
    <w:rPr>
      <w:rFonts w:hint="eastAsia" w:ascii="宋体" w:hAnsi="宋体" w:eastAsia="宋体" w:cs="宋体"/>
      <w:color w:val="000000"/>
      <w:sz w:val="21"/>
      <w:szCs w:val="21"/>
      <w:u w:val="none"/>
    </w:rPr>
  </w:style>
  <w:style w:type="character" w:customStyle="1" w:styleId="166">
    <w:name w:val="font61"/>
    <w:basedOn w:val="37"/>
    <w:qFormat/>
    <w:uiPriority w:val="0"/>
    <w:rPr>
      <w:rFonts w:hint="default" w:ascii="Times New Roman" w:hAnsi="Times New Roman" w:cs="Times New Roman"/>
      <w:b/>
      <w:color w:val="000000"/>
      <w:sz w:val="20"/>
      <w:szCs w:val="20"/>
      <w:u w:val="none"/>
    </w:rPr>
  </w:style>
  <w:style w:type="character" w:customStyle="1" w:styleId="167">
    <w:name w:val="font91"/>
    <w:basedOn w:val="37"/>
    <w:qFormat/>
    <w:uiPriority w:val="0"/>
    <w:rPr>
      <w:rFonts w:hint="default" w:ascii="Times New Roman" w:hAnsi="Times New Roman" w:cs="Times New Roman"/>
      <w:color w:val="000000"/>
      <w:sz w:val="21"/>
      <w:szCs w:val="21"/>
      <w:u w:val="none"/>
    </w:rPr>
  </w:style>
  <w:style w:type="paragraph" w:customStyle="1" w:styleId="168">
    <w:name w:val="TOC 标题5"/>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Cs w:val="0"/>
      <w:color w:val="2E75B6" w:themeColor="accent1" w:themeShade="BF"/>
      <w:kern w:val="0"/>
      <w:szCs w:val="32"/>
    </w:rPr>
  </w:style>
  <w:style w:type="paragraph" w:customStyle="1" w:styleId="169">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character" w:customStyle="1" w:styleId="170">
    <w:name w:val="纯文本 字符"/>
    <w:basedOn w:val="37"/>
    <w:semiHidden/>
    <w:qFormat/>
    <w:uiPriority w:val="99"/>
    <w:rPr>
      <w:rFonts w:hAnsi="Courier New" w:cs="Courier New" w:asciiTheme="minorEastAsia"/>
      <w:sz w:val="28"/>
    </w:rPr>
  </w:style>
  <w:style w:type="character" w:customStyle="1" w:styleId="171">
    <w:name w:val="纯文本 字符1"/>
    <w:link w:val="20"/>
    <w:qFormat/>
    <w:uiPriority w:val="0"/>
    <w:rPr>
      <w:rFonts w:ascii="宋体" w:hAnsi="Courier New" w:eastAsia="宋体" w:cs="Times New Roman"/>
      <w:szCs w:val="20"/>
    </w:rPr>
  </w:style>
  <w:style w:type="paragraph" w:customStyle="1" w:styleId="172">
    <w:name w:val="_Style 171"/>
    <w:basedOn w:val="1"/>
    <w:next w:val="59"/>
    <w:qFormat/>
    <w:uiPriority w:val="34"/>
    <w:pPr>
      <w:spacing w:line="240" w:lineRule="auto"/>
      <w:ind w:firstLine="420"/>
    </w:pPr>
    <w:rPr>
      <w:rFonts w:ascii="Calibri" w:hAnsi="Calibri"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png"/><Relationship Id="rId33" Type="http://schemas.openxmlformats.org/officeDocument/2006/relationships/image" Target="media/image2.jpe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ADED15-CCA6-4457-B953-A32AF5924744}">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10290</Words>
  <Characters>19370</Characters>
  <Lines>165</Lines>
  <Paragraphs>46</Paragraphs>
  <TotalTime>0</TotalTime>
  <ScaleCrop>false</ScaleCrop>
  <LinksUpToDate>false</LinksUpToDate>
  <CharactersWithSpaces>20221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2022-12-13T15:07:00Z</dcterms:created>
  <dc:creator>孙兆地</dc:creator>
  <cp:lastModifiedBy>FuZ1</cp:lastModifiedBy>
  <dcterms:modified xsi:type="dcterms:W3CDTF">2022-12-14T02:27:18Z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6ED78A05FB6941E88EEB57BA93CE357B</vt:lpwstr>
  </property>
</Properties>
</file>